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2DDED" w14:textId="77777777" w:rsidR="00F62774" w:rsidRDefault="007E0D52">
      <w:pPr>
        <w:jc w:val="center"/>
        <w:rPr>
          <w:rFonts w:ascii="Arial" w:eastAsia="Arial" w:hAnsi="Arial" w:cs="Arial"/>
          <w:b/>
          <w:sz w:val="24"/>
          <w:szCs w:val="24"/>
        </w:rPr>
      </w:pPr>
      <w:r>
        <w:rPr>
          <w:rFonts w:ascii="Arial" w:eastAsia="Arial" w:hAnsi="Arial" w:cs="Arial"/>
          <w:noProof/>
        </w:rPr>
        <w:drawing>
          <wp:inline distT="0" distB="0" distL="0" distR="0" wp14:anchorId="50A63702" wp14:editId="139922C4">
            <wp:extent cx="1504074" cy="1286772"/>
            <wp:effectExtent l="0" t="0" r="0" b="0"/>
            <wp:docPr id="1" name="image1.png" descr="Hinckley and Bosworth Borough Council Logo"/>
            <wp:cNvGraphicFramePr/>
            <a:graphic xmlns:a="http://schemas.openxmlformats.org/drawingml/2006/main">
              <a:graphicData uri="http://schemas.openxmlformats.org/drawingml/2006/picture">
                <pic:pic xmlns:pic="http://schemas.openxmlformats.org/drawingml/2006/picture">
                  <pic:nvPicPr>
                    <pic:cNvPr id="0" name="image1.png" descr="Hinckley and Bosworth Borough Council Logo"/>
                    <pic:cNvPicPr preferRelativeResize="0"/>
                  </pic:nvPicPr>
                  <pic:blipFill>
                    <a:blip r:embed="rId10"/>
                    <a:srcRect/>
                    <a:stretch>
                      <a:fillRect/>
                    </a:stretch>
                  </pic:blipFill>
                  <pic:spPr>
                    <a:xfrm>
                      <a:off x="0" y="0"/>
                      <a:ext cx="1504074" cy="1286772"/>
                    </a:xfrm>
                    <a:prstGeom prst="rect">
                      <a:avLst/>
                    </a:prstGeom>
                    <a:ln/>
                  </pic:spPr>
                </pic:pic>
              </a:graphicData>
            </a:graphic>
          </wp:inline>
        </w:drawing>
      </w:r>
    </w:p>
    <w:p w14:paraId="0188A777" w14:textId="77777777" w:rsidR="00F62774" w:rsidRDefault="007E0D52">
      <w:pPr>
        <w:jc w:val="center"/>
        <w:rPr>
          <w:rFonts w:ascii="Arial" w:eastAsia="Arial" w:hAnsi="Arial" w:cs="Arial"/>
          <w:b/>
          <w:sz w:val="24"/>
          <w:szCs w:val="24"/>
        </w:rPr>
      </w:pPr>
      <w:r>
        <w:rPr>
          <w:rFonts w:ascii="Arial" w:eastAsia="Arial" w:hAnsi="Arial" w:cs="Arial"/>
          <w:b/>
          <w:sz w:val="24"/>
          <w:szCs w:val="24"/>
        </w:rPr>
        <w:t>Bagworth Thornton and Stanton Under Bardon Neighbourhood Plan</w:t>
      </w:r>
    </w:p>
    <w:p w14:paraId="728D35F4" w14:textId="4E14D6A0" w:rsidR="00F62774" w:rsidRDefault="00BC3A82">
      <w:pPr>
        <w:jc w:val="center"/>
        <w:rPr>
          <w:rFonts w:ascii="Arial" w:eastAsia="Arial" w:hAnsi="Arial" w:cs="Arial"/>
          <w:b/>
          <w:sz w:val="20"/>
          <w:szCs w:val="20"/>
        </w:rPr>
      </w:pPr>
      <w:r>
        <w:rPr>
          <w:rFonts w:ascii="Arial" w:eastAsia="Arial" w:hAnsi="Arial" w:cs="Arial"/>
          <w:b/>
        </w:rPr>
        <w:t xml:space="preserve">Appendix 1 - </w:t>
      </w:r>
      <w:r w:rsidR="007E0D52">
        <w:rPr>
          <w:rFonts w:ascii="Arial" w:eastAsia="Arial" w:hAnsi="Arial" w:cs="Arial"/>
          <w:b/>
        </w:rPr>
        <w:t>Recommended Modifications Table (Part of the Regulation 18 Decision Statement)</w:t>
      </w:r>
    </w:p>
    <w:p w14:paraId="2E5BB48C" w14:textId="77777777" w:rsidR="00F62774" w:rsidRDefault="007E0D52" w:rsidP="004267C0">
      <w:pPr>
        <w:spacing w:before="120" w:after="120"/>
        <w:jc w:val="center"/>
        <w:rPr>
          <w:rFonts w:ascii="Arial" w:eastAsia="Arial" w:hAnsi="Arial" w:cs="Arial"/>
          <w:b/>
          <w:sz w:val="20"/>
          <w:szCs w:val="20"/>
        </w:rPr>
      </w:pPr>
      <w:r>
        <w:rPr>
          <w:rFonts w:ascii="Arial" w:eastAsia="Arial" w:hAnsi="Arial" w:cs="Arial"/>
          <w:b/>
          <w:sz w:val="20"/>
          <w:szCs w:val="20"/>
          <w:highlight w:val="yellow"/>
        </w:rPr>
        <w:t>XX June 2026</w:t>
      </w:r>
    </w:p>
    <w:p w14:paraId="0F2A3B40" w14:textId="77777777" w:rsidR="00F62774" w:rsidRDefault="007E0D52" w:rsidP="004267C0">
      <w:pPr>
        <w:pBdr>
          <w:top w:val="nil"/>
          <w:left w:val="nil"/>
          <w:bottom w:val="nil"/>
          <w:right w:val="nil"/>
          <w:between w:val="nil"/>
        </w:pBdr>
        <w:spacing w:before="120" w:after="120"/>
        <w:rPr>
          <w:rFonts w:ascii="Arial" w:eastAsia="Arial" w:hAnsi="Arial" w:cs="Arial"/>
          <w:color w:val="000000"/>
          <w:sz w:val="20"/>
          <w:szCs w:val="20"/>
        </w:rPr>
      </w:pPr>
      <w:r>
        <w:rPr>
          <w:rFonts w:ascii="Arial" w:eastAsia="Arial" w:hAnsi="Arial" w:cs="Arial"/>
          <w:color w:val="000000"/>
          <w:sz w:val="20"/>
          <w:szCs w:val="20"/>
        </w:rPr>
        <w:t>As outlined in the Regulation 18 Decision Statement, Regulation 18 of The Neighbourhood Planning (General) Regulations 2012 requires the Local Planning Authority to outline what action to take in response to the recommendations the Independent Examiner made in their report.</w:t>
      </w:r>
    </w:p>
    <w:p w14:paraId="1A6BB916" w14:textId="77777777" w:rsidR="00F62774" w:rsidRDefault="007E0D52" w:rsidP="004267C0">
      <w:pPr>
        <w:pBdr>
          <w:top w:val="nil"/>
          <w:left w:val="nil"/>
          <w:bottom w:val="nil"/>
          <w:right w:val="nil"/>
          <w:between w:val="nil"/>
        </w:pBdr>
        <w:spacing w:before="120" w:after="120"/>
        <w:rPr>
          <w:rFonts w:ascii="Arial" w:eastAsia="Arial" w:hAnsi="Arial" w:cs="Arial"/>
          <w:color w:val="000000"/>
          <w:sz w:val="20"/>
          <w:szCs w:val="20"/>
        </w:rPr>
      </w:pPr>
      <w:r>
        <w:rPr>
          <w:rFonts w:ascii="Arial" w:eastAsia="Arial" w:hAnsi="Arial" w:cs="Arial"/>
          <w:color w:val="000000"/>
          <w:sz w:val="20"/>
          <w:szCs w:val="20"/>
        </w:rPr>
        <w:t>Below is Table 1, which outlines all the modifications listed in the Examiner’s report, the Local Planning Authority’s response to each, and the associated action, as required.</w:t>
      </w:r>
    </w:p>
    <w:p w14:paraId="622FB84D" w14:textId="3BFC8F70" w:rsidR="004267C0" w:rsidRPr="004267C0" w:rsidRDefault="004267C0" w:rsidP="004267C0">
      <w:pPr>
        <w:pBdr>
          <w:top w:val="nil"/>
          <w:left w:val="nil"/>
          <w:bottom w:val="nil"/>
          <w:right w:val="nil"/>
          <w:between w:val="nil"/>
        </w:pBdr>
        <w:spacing w:before="120" w:after="120"/>
        <w:rPr>
          <w:rFonts w:ascii="Arial" w:eastAsia="Arial" w:hAnsi="Arial" w:cs="Arial"/>
          <w:b/>
          <w:bCs/>
          <w:color w:val="000000"/>
          <w:sz w:val="20"/>
          <w:szCs w:val="20"/>
        </w:rPr>
        <w:sectPr w:rsidR="004267C0" w:rsidRPr="004267C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1"/>
          <w:cols w:space="720"/>
        </w:sectPr>
      </w:pPr>
      <w:r w:rsidRPr="004267C0">
        <w:rPr>
          <w:rFonts w:ascii="Arial" w:eastAsia="Arial" w:hAnsi="Arial" w:cs="Arial"/>
          <w:b/>
          <w:bCs/>
          <w:color w:val="000000"/>
          <w:sz w:val="20"/>
          <w:szCs w:val="20"/>
        </w:rPr>
        <w:t xml:space="preserve">This modification table is intended to act as a summary of the modifications, as such please see Examiner’s Report </w:t>
      </w:r>
      <w:r>
        <w:rPr>
          <w:rFonts w:ascii="Arial" w:eastAsia="Arial" w:hAnsi="Arial" w:cs="Arial"/>
          <w:b/>
          <w:bCs/>
          <w:color w:val="000000"/>
          <w:sz w:val="20"/>
          <w:szCs w:val="20"/>
        </w:rPr>
        <w:t xml:space="preserve">(June 2026) </w:t>
      </w:r>
      <w:r w:rsidRPr="004267C0">
        <w:rPr>
          <w:rFonts w:ascii="Arial" w:eastAsia="Arial" w:hAnsi="Arial" w:cs="Arial"/>
          <w:b/>
          <w:bCs/>
          <w:color w:val="000000"/>
          <w:sz w:val="20"/>
          <w:szCs w:val="20"/>
        </w:rPr>
        <w:t>for the full context and particulars of the modifications.</w:t>
      </w:r>
    </w:p>
    <w:p w14:paraId="5BBE48B3" w14:textId="77777777" w:rsidR="00F62774" w:rsidRDefault="007E0D52">
      <w:pPr>
        <w:pStyle w:val="Heading1"/>
        <w:rPr>
          <w:sz w:val="20"/>
          <w:szCs w:val="20"/>
        </w:rPr>
      </w:pPr>
      <w:r>
        <w:rPr>
          <w:sz w:val="20"/>
          <w:szCs w:val="20"/>
        </w:rPr>
        <w:lastRenderedPageBreak/>
        <w:t>Table 1: Examiner’s proposed modifications and HBBC’s proposed response</w:t>
      </w:r>
    </w:p>
    <w:tbl>
      <w:tblPr>
        <w:tblStyle w:val="a"/>
        <w:tblW w:w="204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4"/>
        <w:gridCol w:w="1947"/>
        <w:gridCol w:w="3723"/>
        <w:gridCol w:w="7475"/>
        <w:gridCol w:w="5564"/>
      </w:tblGrid>
      <w:tr w:rsidR="00F62774" w14:paraId="37011121" w14:textId="77777777" w:rsidTr="00724BEF">
        <w:trPr>
          <w:tblHeader/>
        </w:trPr>
        <w:tc>
          <w:tcPr>
            <w:tcW w:w="1734" w:type="dxa"/>
            <w:shd w:val="clear" w:color="auto" w:fill="D9D9D9"/>
          </w:tcPr>
          <w:p w14:paraId="2DF7D5FE" w14:textId="77777777" w:rsidR="00F62774" w:rsidRDefault="007E0D52" w:rsidP="00BC3A82">
            <w:pPr>
              <w:spacing w:before="120" w:after="120" w:line="276" w:lineRule="auto"/>
              <w:rPr>
                <w:rFonts w:ascii="Arial" w:eastAsia="Arial" w:hAnsi="Arial" w:cs="Arial"/>
                <w:b/>
              </w:rPr>
            </w:pPr>
            <w:r>
              <w:rPr>
                <w:rFonts w:ascii="Arial" w:eastAsia="Arial" w:hAnsi="Arial" w:cs="Arial"/>
                <w:b/>
              </w:rPr>
              <w:t>Modification No.</w:t>
            </w:r>
          </w:p>
        </w:tc>
        <w:tc>
          <w:tcPr>
            <w:tcW w:w="1947" w:type="dxa"/>
            <w:shd w:val="clear" w:color="auto" w:fill="D9D9D9"/>
          </w:tcPr>
          <w:p w14:paraId="17D93862" w14:textId="77777777" w:rsidR="00F62774" w:rsidRDefault="007E0D52" w:rsidP="00BC3A82">
            <w:pPr>
              <w:spacing w:before="120" w:after="120" w:line="276" w:lineRule="auto"/>
              <w:rPr>
                <w:rFonts w:ascii="Arial" w:eastAsia="Arial" w:hAnsi="Arial" w:cs="Arial"/>
                <w:b/>
              </w:rPr>
            </w:pPr>
            <w:r>
              <w:rPr>
                <w:rFonts w:ascii="Arial" w:eastAsia="Arial" w:hAnsi="Arial" w:cs="Arial"/>
                <w:b/>
              </w:rPr>
              <w:t>Policy / Section</w:t>
            </w:r>
          </w:p>
        </w:tc>
        <w:tc>
          <w:tcPr>
            <w:tcW w:w="3723" w:type="dxa"/>
            <w:shd w:val="clear" w:color="auto" w:fill="D9D9D9"/>
          </w:tcPr>
          <w:p w14:paraId="0354C98B" w14:textId="77777777" w:rsidR="00F62774" w:rsidRDefault="007E0D52" w:rsidP="00BC3A82">
            <w:pPr>
              <w:spacing w:before="120" w:after="120" w:line="276" w:lineRule="auto"/>
              <w:rPr>
                <w:rFonts w:ascii="Arial" w:eastAsia="Arial" w:hAnsi="Arial" w:cs="Arial"/>
                <w:b/>
              </w:rPr>
            </w:pPr>
            <w:r>
              <w:rPr>
                <w:rFonts w:ascii="Arial" w:eastAsia="Arial" w:hAnsi="Arial" w:cs="Arial"/>
                <w:b/>
              </w:rPr>
              <w:t>Examiner’s Report page/paragraph number</w:t>
            </w:r>
          </w:p>
        </w:tc>
        <w:tc>
          <w:tcPr>
            <w:tcW w:w="7475" w:type="dxa"/>
            <w:shd w:val="clear" w:color="auto" w:fill="D9D9D9"/>
          </w:tcPr>
          <w:p w14:paraId="66C486FA" w14:textId="77777777" w:rsidR="00F62774" w:rsidRDefault="007E0D52" w:rsidP="00BC3A82">
            <w:pPr>
              <w:spacing w:before="120" w:after="120" w:line="276" w:lineRule="auto"/>
              <w:rPr>
                <w:rFonts w:ascii="Arial" w:eastAsia="Arial" w:hAnsi="Arial" w:cs="Arial"/>
                <w:b/>
              </w:rPr>
            </w:pPr>
            <w:r>
              <w:rPr>
                <w:rFonts w:ascii="Arial" w:eastAsia="Arial" w:hAnsi="Arial" w:cs="Arial"/>
                <w:b/>
              </w:rPr>
              <w:t>Recommended Modification</w:t>
            </w:r>
          </w:p>
        </w:tc>
        <w:tc>
          <w:tcPr>
            <w:tcW w:w="5564" w:type="dxa"/>
            <w:shd w:val="clear" w:color="auto" w:fill="D9D9D9"/>
          </w:tcPr>
          <w:p w14:paraId="1C7B087B" w14:textId="77777777" w:rsidR="00F62774" w:rsidRDefault="007E0D52" w:rsidP="00BC3A82">
            <w:pPr>
              <w:spacing w:before="120" w:after="120" w:line="276" w:lineRule="auto"/>
              <w:rPr>
                <w:rFonts w:ascii="Arial" w:eastAsia="Arial" w:hAnsi="Arial" w:cs="Arial"/>
                <w:b/>
              </w:rPr>
            </w:pPr>
            <w:r>
              <w:rPr>
                <w:rFonts w:ascii="Arial" w:eastAsia="Arial" w:hAnsi="Arial" w:cs="Arial"/>
                <w:b/>
              </w:rPr>
              <w:t>HBBC’s decision</w:t>
            </w:r>
          </w:p>
        </w:tc>
      </w:tr>
      <w:tr w:rsidR="00F62774" w14:paraId="0D05249E" w14:textId="77777777" w:rsidTr="00724BEF">
        <w:tc>
          <w:tcPr>
            <w:tcW w:w="1734" w:type="dxa"/>
          </w:tcPr>
          <w:p w14:paraId="3EFAEC8A"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1</w:t>
            </w:r>
          </w:p>
        </w:tc>
        <w:tc>
          <w:tcPr>
            <w:tcW w:w="1947" w:type="dxa"/>
          </w:tcPr>
          <w:p w14:paraId="3B5143E6" w14:textId="3EAAA2B5" w:rsidR="00F62774" w:rsidRDefault="00570BA4" w:rsidP="00BC3A82">
            <w:pPr>
              <w:spacing w:before="120" w:after="120" w:line="276" w:lineRule="auto"/>
              <w:rPr>
                <w:rFonts w:ascii="Arial" w:eastAsia="Arial" w:hAnsi="Arial" w:cs="Arial"/>
                <w:sz w:val="20"/>
                <w:szCs w:val="20"/>
              </w:rPr>
            </w:pPr>
            <w:r>
              <w:rPr>
                <w:rFonts w:ascii="Arial" w:eastAsia="Arial" w:hAnsi="Arial" w:cs="Arial"/>
                <w:sz w:val="20"/>
                <w:szCs w:val="20"/>
              </w:rPr>
              <w:t>Throughout</w:t>
            </w:r>
          </w:p>
        </w:tc>
        <w:tc>
          <w:tcPr>
            <w:tcW w:w="3723" w:type="dxa"/>
          </w:tcPr>
          <w:p w14:paraId="37A69942"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 xml:space="preserve">The Examiner discusses the modification throughout the draft NDP, other than in the Foreword and Appendices. </w:t>
            </w:r>
          </w:p>
        </w:tc>
        <w:tc>
          <w:tcPr>
            <w:tcW w:w="7475" w:type="dxa"/>
          </w:tcPr>
          <w:p w14:paraId="0D52567E"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 xml:space="preserve">Number paragraphs. </w:t>
            </w:r>
          </w:p>
        </w:tc>
        <w:tc>
          <w:tcPr>
            <w:tcW w:w="5564" w:type="dxa"/>
          </w:tcPr>
          <w:p w14:paraId="28D4C62C"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 xml:space="preserve">HBBC agree, modification to be made because numbering the paragraphs of the Neighbourhood Plan provides clarity and ensures the document can be reliably referred to in decision-making, reports and at appeal. This is a correction of an error in presentation rather than a change of </w:t>
            </w:r>
            <w:proofErr w:type="gramStart"/>
            <w:r>
              <w:rPr>
                <w:rFonts w:ascii="Arial" w:eastAsia="Arial" w:hAnsi="Arial" w:cs="Arial"/>
                <w:sz w:val="20"/>
                <w:szCs w:val="20"/>
              </w:rPr>
              <w:t>substance, and</w:t>
            </w:r>
            <w:proofErr w:type="gramEnd"/>
            <w:r>
              <w:rPr>
                <w:rFonts w:ascii="Arial" w:eastAsia="Arial" w:hAnsi="Arial" w:cs="Arial"/>
                <w:sz w:val="20"/>
                <w:szCs w:val="20"/>
              </w:rPr>
              <w:t xml:space="preserve"> supports the proper use of the Plan once made.</w:t>
            </w:r>
          </w:p>
          <w:p w14:paraId="2ACCC743" w14:textId="77777777" w:rsidR="006D1DCF" w:rsidRDefault="006D1DCF" w:rsidP="00BC3A82">
            <w:pPr>
              <w:spacing w:before="120" w:after="120" w:line="276" w:lineRule="auto"/>
              <w:rPr>
                <w:rFonts w:ascii="Arial" w:eastAsia="Arial" w:hAnsi="Arial" w:cs="Arial"/>
                <w:sz w:val="20"/>
                <w:szCs w:val="20"/>
              </w:rPr>
            </w:pPr>
          </w:p>
        </w:tc>
      </w:tr>
      <w:tr w:rsidR="00F62774" w14:paraId="2D54973A" w14:textId="77777777" w:rsidTr="00724BEF">
        <w:trPr>
          <w:trHeight w:val="1305"/>
        </w:trPr>
        <w:tc>
          <w:tcPr>
            <w:tcW w:w="1734" w:type="dxa"/>
          </w:tcPr>
          <w:p w14:paraId="195A7B9F"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2</w:t>
            </w:r>
          </w:p>
        </w:tc>
        <w:tc>
          <w:tcPr>
            <w:tcW w:w="1947" w:type="dxa"/>
          </w:tcPr>
          <w:p w14:paraId="3BB247D1" w14:textId="77777777" w:rsidR="00570BA4" w:rsidRDefault="00570BA4" w:rsidP="00BC3A82">
            <w:pPr>
              <w:spacing w:before="120" w:after="120" w:line="276" w:lineRule="auto"/>
              <w:rPr>
                <w:rFonts w:ascii="Arial" w:eastAsia="Arial" w:hAnsi="Arial" w:cs="Arial"/>
                <w:sz w:val="20"/>
                <w:szCs w:val="20"/>
              </w:rPr>
            </w:pPr>
            <w:r>
              <w:rPr>
                <w:rFonts w:ascii="Arial" w:eastAsia="Arial" w:hAnsi="Arial" w:cs="Arial"/>
                <w:sz w:val="20"/>
                <w:szCs w:val="20"/>
              </w:rPr>
              <w:t>Page 7, section 1.2</w:t>
            </w:r>
          </w:p>
          <w:p w14:paraId="3F453B68" w14:textId="77777777" w:rsidR="00F62774" w:rsidRDefault="00F62774" w:rsidP="00BC3A82">
            <w:pPr>
              <w:spacing w:before="120" w:after="120" w:line="276" w:lineRule="auto"/>
              <w:rPr>
                <w:rFonts w:ascii="Arial" w:eastAsia="Arial" w:hAnsi="Arial" w:cs="Arial"/>
                <w:sz w:val="20"/>
                <w:szCs w:val="20"/>
              </w:rPr>
            </w:pPr>
          </w:p>
        </w:tc>
        <w:tc>
          <w:tcPr>
            <w:tcW w:w="3723" w:type="dxa"/>
          </w:tcPr>
          <w:p w14:paraId="5E04EAE8" w14:textId="77777777" w:rsidR="00F62774" w:rsidRDefault="007E0D52" w:rsidP="00BC3A82">
            <w:pPr>
              <w:tabs>
                <w:tab w:val="left" w:pos="2175"/>
                <w:tab w:val="left" w:pos="4245"/>
              </w:tabs>
              <w:spacing w:before="120" w:after="120" w:line="276" w:lineRule="auto"/>
              <w:rPr>
                <w:rFonts w:ascii="Arial" w:eastAsia="Arial" w:hAnsi="Arial" w:cs="Arial"/>
                <w:sz w:val="20"/>
                <w:szCs w:val="20"/>
              </w:rPr>
            </w:pPr>
            <w:r>
              <w:rPr>
                <w:rFonts w:ascii="Arial" w:eastAsia="Arial" w:hAnsi="Arial" w:cs="Arial"/>
                <w:sz w:val="20"/>
                <w:szCs w:val="20"/>
              </w:rPr>
              <w:t xml:space="preserve">The Examiner discusses the modification on page 7, section 1.2. </w:t>
            </w:r>
          </w:p>
        </w:tc>
        <w:tc>
          <w:tcPr>
            <w:tcW w:w="7475" w:type="dxa"/>
          </w:tcPr>
          <w:p w14:paraId="7DB4B638"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Page 7, section 1.2</w:t>
            </w:r>
          </w:p>
          <w:p w14:paraId="18BF90C9"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Replace “Neighbourhood Plans must” with “Neighbourhood Plans had to”.</w:t>
            </w:r>
          </w:p>
          <w:p w14:paraId="7102A345" w14:textId="77777777" w:rsidR="006D1DCF" w:rsidRDefault="006D1DCF" w:rsidP="00BC3A82">
            <w:pPr>
              <w:spacing w:before="120" w:after="120" w:line="276" w:lineRule="auto"/>
              <w:rPr>
                <w:rFonts w:ascii="Arial" w:eastAsia="Arial" w:hAnsi="Arial" w:cs="Arial"/>
                <w:sz w:val="20"/>
                <w:szCs w:val="20"/>
              </w:rPr>
            </w:pPr>
          </w:p>
          <w:p w14:paraId="08222E0A"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 xml:space="preserve">Replace the fourth indent with “not </w:t>
            </w:r>
            <w:proofErr w:type="gramStart"/>
            <w:r>
              <w:rPr>
                <w:rFonts w:ascii="Arial" w:eastAsia="Arial" w:hAnsi="Arial" w:cs="Arial"/>
                <w:sz w:val="20"/>
                <w:szCs w:val="20"/>
              </w:rPr>
              <w:t>breach, and</w:t>
            </w:r>
            <w:proofErr w:type="gramEnd"/>
            <w:r>
              <w:rPr>
                <w:rFonts w:ascii="Arial" w:eastAsia="Arial" w:hAnsi="Arial" w:cs="Arial"/>
                <w:sz w:val="20"/>
                <w:szCs w:val="20"/>
              </w:rPr>
              <w:t xml:space="preserve"> otherwise be compatible with assimilated obligations”.</w:t>
            </w:r>
          </w:p>
          <w:p w14:paraId="309F5196" w14:textId="77777777" w:rsidR="006D1DCF" w:rsidRDefault="006D1DCF" w:rsidP="00BC3A82">
            <w:pPr>
              <w:spacing w:before="120" w:after="120" w:line="276" w:lineRule="auto"/>
              <w:rPr>
                <w:rFonts w:ascii="Arial" w:eastAsia="Arial" w:hAnsi="Arial" w:cs="Arial"/>
                <w:sz w:val="20"/>
                <w:szCs w:val="20"/>
              </w:rPr>
            </w:pPr>
          </w:p>
          <w:p w14:paraId="224CDFE5"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Add a fifth indent “not breach not breach the requirements of Chapter 8 of Part 6 of the Conservation of Habitats and Species Regulations 2017”.</w:t>
            </w:r>
          </w:p>
          <w:p w14:paraId="003A6B9C" w14:textId="77777777" w:rsidR="006D1DCF" w:rsidRDefault="006D1DCF" w:rsidP="00BC3A82">
            <w:pPr>
              <w:spacing w:before="120" w:after="120" w:line="276" w:lineRule="auto"/>
              <w:rPr>
                <w:rFonts w:ascii="Arial" w:eastAsia="Arial" w:hAnsi="Arial" w:cs="Arial"/>
                <w:sz w:val="20"/>
                <w:szCs w:val="20"/>
              </w:rPr>
            </w:pPr>
          </w:p>
          <w:p w14:paraId="7A3618BF"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Add after “governing the preparation of a Neighbourhood Plan”:</w:t>
            </w:r>
          </w:p>
          <w:p w14:paraId="3491370E" w14:textId="77777777" w:rsidR="006D1DCF" w:rsidRDefault="006D1DCF" w:rsidP="00BC3A82">
            <w:pPr>
              <w:spacing w:before="120" w:after="120" w:line="276" w:lineRule="auto"/>
              <w:rPr>
                <w:rFonts w:ascii="Arial" w:eastAsia="Arial" w:hAnsi="Arial" w:cs="Arial"/>
                <w:sz w:val="20"/>
                <w:szCs w:val="20"/>
              </w:rPr>
            </w:pPr>
          </w:p>
          <w:p w14:paraId="08605F4F"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 xml:space="preserve">“The statutory basic conditions were </w:t>
            </w:r>
            <w:proofErr w:type="gramStart"/>
            <w:r>
              <w:rPr>
                <w:rFonts w:ascii="Arial" w:eastAsia="Arial" w:hAnsi="Arial" w:cs="Arial"/>
                <w:sz w:val="20"/>
                <w:szCs w:val="20"/>
              </w:rPr>
              <w:t>amended</w:t>
            </w:r>
            <w:proofErr w:type="gramEnd"/>
            <w:r>
              <w:rPr>
                <w:rFonts w:ascii="Arial" w:eastAsia="Arial" w:hAnsi="Arial" w:cs="Arial"/>
                <w:sz w:val="20"/>
                <w:szCs w:val="20"/>
              </w:rPr>
              <w:t xml:space="preserve"> and the Neighbourhood Plan has been examined against the current basic conditions, namely that a draft NDP will meet the basic conditions:</w:t>
            </w:r>
          </w:p>
          <w:p w14:paraId="2A942102" w14:textId="77777777" w:rsidR="006D1DCF" w:rsidRDefault="006D1DCF" w:rsidP="00BC3A82">
            <w:pPr>
              <w:spacing w:before="120" w:after="120" w:line="276" w:lineRule="auto"/>
              <w:rPr>
                <w:rFonts w:ascii="Arial" w:eastAsia="Arial" w:hAnsi="Arial" w:cs="Arial"/>
                <w:sz w:val="20"/>
                <w:szCs w:val="20"/>
              </w:rPr>
            </w:pPr>
          </w:p>
          <w:p w14:paraId="7435205B" w14:textId="77777777" w:rsidR="00F62774" w:rsidRDefault="007E0D52" w:rsidP="00BC3A82">
            <w:pPr>
              <w:spacing w:before="120" w:after="120" w:line="276" w:lineRule="auto"/>
              <w:ind w:left="283"/>
              <w:rPr>
                <w:rFonts w:ascii="Arial" w:eastAsia="Arial" w:hAnsi="Arial" w:cs="Arial"/>
                <w:sz w:val="20"/>
                <w:szCs w:val="20"/>
              </w:rPr>
            </w:pPr>
            <w:r>
              <w:rPr>
                <w:rFonts w:ascii="Arial" w:eastAsia="Arial" w:hAnsi="Arial" w:cs="Arial"/>
                <w:sz w:val="20"/>
                <w:szCs w:val="20"/>
              </w:rPr>
              <w:t>- having regard to national policies and advice contained in guidance issued by the Secretary of State, it is appropriate to make the order;</w:t>
            </w:r>
          </w:p>
          <w:p w14:paraId="352727EA" w14:textId="77777777" w:rsidR="00F62774" w:rsidRDefault="007E0D52" w:rsidP="00BC3A82">
            <w:pPr>
              <w:spacing w:before="120" w:after="120" w:line="276" w:lineRule="auto"/>
              <w:ind w:left="283"/>
              <w:rPr>
                <w:rFonts w:ascii="Arial" w:eastAsia="Arial" w:hAnsi="Arial" w:cs="Arial"/>
                <w:sz w:val="20"/>
                <w:szCs w:val="20"/>
              </w:rPr>
            </w:pPr>
            <w:r>
              <w:rPr>
                <w:rFonts w:ascii="Arial" w:eastAsia="Arial" w:hAnsi="Arial" w:cs="Arial"/>
                <w:sz w:val="20"/>
                <w:szCs w:val="20"/>
              </w:rPr>
              <w:t>- the making of the order contributes to the achievement of sustainable development;</w:t>
            </w:r>
          </w:p>
          <w:p w14:paraId="3A33025E" w14:textId="77777777" w:rsidR="00F62774" w:rsidRDefault="007E0D52" w:rsidP="00BC3A82">
            <w:pPr>
              <w:spacing w:before="120" w:after="120" w:line="276" w:lineRule="auto"/>
              <w:ind w:left="283"/>
              <w:rPr>
                <w:rFonts w:ascii="Arial" w:eastAsia="Arial" w:hAnsi="Arial" w:cs="Arial"/>
                <w:sz w:val="20"/>
                <w:szCs w:val="20"/>
              </w:rPr>
            </w:pPr>
            <w:r>
              <w:rPr>
                <w:rFonts w:ascii="Arial" w:eastAsia="Arial" w:hAnsi="Arial" w:cs="Arial"/>
                <w:sz w:val="20"/>
                <w:szCs w:val="20"/>
              </w:rPr>
              <w:t>- the making of the order would not have the effect of preventing development from taking place which (</w:t>
            </w:r>
            <w:proofErr w:type="spellStart"/>
            <w:r>
              <w:rPr>
                <w:rFonts w:ascii="Arial" w:eastAsia="Arial" w:hAnsi="Arial" w:cs="Arial"/>
                <w:sz w:val="20"/>
                <w:szCs w:val="20"/>
              </w:rPr>
              <w:t>i</w:t>
            </w:r>
            <w:proofErr w:type="spellEnd"/>
            <w:r>
              <w:rPr>
                <w:rFonts w:ascii="Arial" w:eastAsia="Arial" w:hAnsi="Arial" w:cs="Arial"/>
                <w:sz w:val="20"/>
                <w:szCs w:val="20"/>
              </w:rPr>
              <w:t>) is proposed in the development plan for the area of the authority (or any part of that area), and (ii) if it took place, would provide housing;</w:t>
            </w:r>
          </w:p>
          <w:p w14:paraId="51EE9921" w14:textId="77777777" w:rsidR="00F62774" w:rsidRDefault="007E0D52" w:rsidP="00BC3A82">
            <w:pPr>
              <w:spacing w:before="120" w:after="120" w:line="276" w:lineRule="auto"/>
              <w:ind w:left="283"/>
              <w:rPr>
                <w:rFonts w:ascii="Arial" w:eastAsia="Arial" w:hAnsi="Arial" w:cs="Arial"/>
                <w:sz w:val="20"/>
                <w:szCs w:val="20"/>
              </w:rPr>
            </w:pPr>
            <w:r>
              <w:rPr>
                <w:rFonts w:ascii="Arial" w:eastAsia="Arial" w:hAnsi="Arial" w:cs="Arial"/>
                <w:sz w:val="20"/>
                <w:szCs w:val="20"/>
              </w:rPr>
              <w:t>- the making of the order does not breach, and is otherwise compatible with, assimilated obligations;</w:t>
            </w:r>
          </w:p>
          <w:p w14:paraId="49755DAE" w14:textId="77777777" w:rsidR="00F62774" w:rsidRDefault="007E0D52" w:rsidP="00BC3A82">
            <w:pPr>
              <w:spacing w:before="120" w:after="120" w:line="276" w:lineRule="auto"/>
              <w:ind w:left="283"/>
              <w:rPr>
                <w:rFonts w:ascii="Arial" w:eastAsia="Arial" w:hAnsi="Arial" w:cs="Arial"/>
                <w:sz w:val="20"/>
                <w:szCs w:val="20"/>
              </w:rPr>
            </w:pPr>
            <w:r>
              <w:rPr>
                <w:rFonts w:ascii="Arial" w:eastAsia="Arial" w:hAnsi="Arial" w:cs="Arial"/>
                <w:sz w:val="20"/>
                <w:szCs w:val="20"/>
              </w:rPr>
              <w:t>- any requirements imposed in relation to the order by or under Part 6 of the Levelling-up and Regeneration Act 2023 (environmental outcomes reports) have been complied with; and</w:t>
            </w:r>
          </w:p>
          <w:p w14:paraId="473EDCA4" w14:textId="77777777" w:rsidR="00F62774" w:rsidRDefault="007E0D52" w:rsidP="00BC3A82">
            <w:pPr>
              <w:spacing w:before="120" w:after="120" w:line="276" w:lineRule="auto"/>
              <w:ind w:left="283"/>
              <w:rPr>
                <w:rFonts w:ascii="Arial" w:eastAsia="Arial" w:hAnsi="Arial" w:cs="Arial"/>
                <w:sz w:val="20"/>
                <w:szCs w:val="20"/>
              </w:rPr>
            </w:pPr>
            <w:r>
              <w:rPr>
                <w:rFonts w:ascii="Arial" w:eastAsia="Arial" w:hAnsi="Arial" w:cs="Arial"/>
                <w:sz w:val="20"/>
                <w:szCs w:val="20"/>
              </w:rPr>
              <w:t>- prescribed conditions are met in relation to the order and prescribed matters have been complied with in connection with the proposal for the order.”</w:t>
            </w:r>
          </w:p>
          <w:p w14:paraId="3697BC1F" w14:textId="77777777" w:rsidR="006D1DCF" w:rsidRDefault="006D1DCF" w:rsidP="00BC3A82">
            <w:pPr>
              <w:spacing w:before="120" w:after="120" w:line="276" w:lineRule="auto"/>
              <w:ind w:left="283"/>
              <w:rPr>
                <w:rFonts w:ascii="Arial" w:eastAsia="Arial" w:hAnsi="Arial" w:cs="Arial"/>
                <w:sz w:val="20"/>
                <w:szCs w:val="20"/>
              </w:rPr>
            </w:pPr>
          </w:p>
        </w:tc>
        <w:tc>
          <w:tcPr>
            <w:tcW w:w="5564" w:type="dxa"/>
          </w:tcPr>
          <w:p w14:paraId="7618B7EB"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 xml:space="preserve">HBBC agree, modification to be made because the wording in section 1.2 reflected an out-of-date statement of the basic conditions and omitted one of them. The basic conditions were subsequently amended by the Levelling-up and Regeneration Act 2023. Correcting the wording to set out the current basic conditions is necessary to correct an error of law and provides clarity as to the tests against which the Plan has </w:t>
            </w:r>
            <w:proofErr w:type="gramStart"/>
            <w:r>
              <w:rPr>
                <w:rFonts w:ascii="Arial" w:eastAsia="Arial" w:hAnsi="Arial" w:cs="Arial"/>
                <w:sz w:val="20"/>
                <w:szCs w:val="20"/>
              </w:rPr>
              <w:t>actually been</w:t>
            </w:r>
            <w:proofErr w:type="gramEnd"/>
            <w:r>
              <w:rPr>
                <w:rFonts w:ascii="Arial" w:eastAsia="Arial" w:hAnsi="Arial" w:cs="Arial"/>
                <w:sz w:val="20"/>
                <w:szCs w:val="20"/>
              </w:rPr>
              <w:t xml:space="preserve"> examined.</w:t>
            </w:r>
          </w:p>
        </w:tc>
      </w:tr>
      <w:tr w:rsidR="00F62774" w14:paraId="22C1D084" w14:textId="77777777" w:rsidTr="00724BEF">
        <w:tc>
          <w:tcPr>
            <w:tcW w:w="1734" w:type="dxa"/>
          </w:tcPr>
          <w:p w14:paraId="213A526E"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lastRenderedPageBreak/>
              <w:t>3</w:t>
            </w:r>
          </w:p>
        </w:tc>
        <w:tc>
          <w:tcPr>
            <w:tcW w:w="1947" w:type="dxa"/>
          </w:tcPr>
          <w:p w14:paraId="55790EF1" w14:textId="4F31C467" w:rsidR="00F62774" w:rsidRDefault="00570BA4" w:rsidP="00BC3A82">
            <w:pPr>
              <w:spacing w:before="120" w:after="120" w:line="276" w:lineRule="auto"/>
              <w:rPr>
                <w:rFonts w:ascii="Arial" w:eastAsia="Arial" w:hAnsi="Arial" w:cs="Arial"/>
                <w:sz w:val="20"/>
                <w:szCs w:val="20"/>
              </w:rPr>
            </w:pPr>
            <w:r w:rsidRPr="00570BA4">
              <w:rPr>
                <w:rFonts w:ascii="Arial" w:eastAsia="Arial" w:hAnsi="Arial" w:cs="Arial"/>
                <w:sz w:val="20"/>
                <w:szCs w:val="20"/>
              </w:rPr>
              <w:t>Page 14, paragraph 2.4</w:t>
            </w:r>
          </w:p>
        </w:tc>
        <w:tc>
          <w:tcPr>
            <w:tcW w:w="3723" w:type="dxa"/>
          </w:tcPr>
          <w:p w14:paraId="203F0A3F"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 xml:space="preserve">The Examiner discusses the modification on page 14, paragraph 2.4. </w:t>
            </w:r>
          </w:p>
        </w:tc>
        <w:tc>
          <w:tcPr>
            <w:tcW w:w="7475" w:type="dxa"/>
          </w:tcPr>
          <w:p w14:paraId="2D78CC6F"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Replace “2011” with “2021” in the second line of the title.</w:t>
            </w:r>
          </w:p>
          <w:p w14:paraId="77BA96B0" w14:textId="77777777" w:rsidR="006D1DCF" w:rsidRDefault="006D1DCF" w:rsidP="00BC3A82">
            <w:pPr>
              <w:spacing w:before="120" w:after="120" w:line="276" w:lineRule="auto"/>
              <w:rPr>
                <w:rFonts w:ascii="Arial" w:eastAsia="Arial" w:hAnsi="Arial" w:cs="Arial"/>
                <w:sz w:val="20"/>
                <w:szCs w:val="20"/>
              </w:rPr>
            </w:pPr>
          </w:p>
          <w:p w14:paraId="0E4784FC"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Replace the second grammatical paragraph with: “At the time of the 2021 Census, Bagworth and Thornton Parish had an estimated total population of 3,031 residents living in 1,500 households whereas the smaller parish of Stanton-under-Bardon recorded 907 residents (an increase of 273 since 2011) living in 272 households. The Bagworth and Thornton Parish had a higher representation of younger residents and Stanton-under-Bardon displayed a higher-than-average proportion of residents aged 65 and over.  There has</w:t>
            </w:r>
            <w:r>
              <w:rPr>
                <w:rFonts w:ascii="Arial" w:eastAsia="Arial" w:hAnsi="Arial" w:cs="Arial"/>
                <w:sz w:val="20"/>
                <w:szCs w:val="20"/>
              </w:rPr>
              <w:t xml:space="preserve"> been significant population growth in Bagworth and Thornton with the number of residents increasing by around 568 (23%) between 2011 and 2021. During this period the number of dwellings went up by 304 (40%). There is evidence of further housing growth having occurred since the last Census with 49 new build sales recorded between 2013 and 2016. </w:t>
            </w:r>
          </w:p>
          <w:p w14:paraId="7C7381AE" w14:textId="77777777" w:rsidR="006D1DCF" w:rsidRDefault="006D1DCF" w:rsidP="00BC3A82">
            <w:pPr>
              <w:spacing w:before="120" w:after="120" w:line="276" w:lineRule="auto"/>
              <w:rPr>
                <w:rFonts w:ascii="Arial" w:eastAsia="Arial" w:hAnsi="Arial" w:cs="Arial"/>
                <w:sz w:val="20"/>
                <w:szCs w:val="20"/>
              </w:rPr>
            </w:pPr>
          </w:p>
          <w:p w14:paraId="68C57609"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Delete the whole of the third Grammatical paragraph, viz the paragraph being “Census data implies”.</w:t>
            </w:r>
          </w:p>
        </w:tc>
        <w:tc>
          <w:tcPr>
            <w:tcW w:w="5564" w:type="dxa"/>
          </w:tcPr>
          <w:p w14:paraId="7A4E23D6"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HBBC agree, modification to be made because the section relied on 2011 Census data which is now significantly out of date. Updating the population and household figures to the 2021 Census, and removing the superseded text, corrects factual errors and provides an accurate, up-to-date evidence base for the Plan.</w:t>
            </w:r>
          </w:p>
        </w:tc>
      </w:tr>
      <w:tr w:rsidR="00F62774" w14:paraId="5243B792" w14:textId="77777777" w:rsidTr="00724BEF">
        <w:tc>
          <w:tcPr>
            <w:tcW w:w="1734" w:type="dxa"/>
          </w:tcPr>
          <w:p w14:paraId="00691087"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4</w:t>
            </w:r>
          </w:p>
        </w:tc>
        <w:tc>
          <w:tcPr>
            <w:tcW w:w="1947" w:type="dxa"/>
          </w:tcPr>
          <w:p w14:paraId="59ABC3D6" w14:textId="56DD3A2C" w:rsidR="00F62774" w:rsidRDefault="00570BA4" w:rsidP="00BC3A82">
            <w:pPr>
              <w:spacing w:before="120" w:after="120" w:line="276" w:lineRule="auto"/>
              <w:rPr>
                <w:rFonts w:ascii="Arial" w:eastAsia="Arial" w:hAnsi="Arial" w:cs="Arial"/>
                <w:sz w:val="20"/>
                <w:szCs w:val="20"/>
              </w:rPr>
            </w:pPr>
            <w:r w:rsidRPr="00570BA4">
              <w:rPr>
                <w:rFonts w:ascii="Arial" w:eastAsia="Arial" w:hAnsi="Arial" w:cs="Arial"/>
                <w:sz w:val="20"/>
                <w:szCs w:val="20"/>
              </w:rPr>
              <w:t>Page 17, 2nd complete paragraph.</w:t>
            </w:r>
          </w:p>
        </w:tc>
        <w:tc>
          <w:tcPr>
            <w:tcW w:w="3723" w:type="dxa"/>
          </w:tcPr>
          <w:p w14:paraId="2D84DCCF"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The Examiner discusses the modification on page 17, in the 2</w:t>
            </w:r>
            <w:r>
              <w:rPr>
                <w:rFonts w:ascii="Arial" w:eastAsia="Arial" w:hAnsi="Arial" w:cs="Arial"/>
                <w:sz w:val="20"/>
                <w:szCs w:val="20"/>
                <w:vertAlign w:val="superscript"/>
              </w:rPr>
              <w:t>nd</w:t>
            </w:r>
            <w:r>
              <w:rPr>
                <w:rFonts w:ascii="Arial" w:eastAsia="Arial" w:hAnsi="Arial" w:cs="Arial"/>
                <w:sz w:val="20"/>
                <w:szCs w:val="20"/>
              </w:rPr>
              <w:t xml:space="preserve"> complete paragraph. </w:t>
            </w:r>
          </w:p>
        </w:tc>
        <w:tc>
          <w:tcPr>
            <w:tcW w:w="7475" w:type="dxa"/>
          </w:tcPr>
          <w:p w14:paraId="5D17C0EC"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Replace “HBBC’s latest” with “HBBC’s then latest”.</w:t>
            </w:r>
          </w:p>
          <w:p w14:paraId="02EDEEBC" w14:textId="77777777" w:rsidR="006D1DCF" w:rsidRDefault="006D1DCF" w:rsidP="00BC3A82">
            <w:pPr>
              <w:spacing w:before="120" w:after="120" w:line="276" w:lineRule="auto"/>
              <w:rPr>
                <w:rFonts w:ascii="Arial" w:eastAsia="Arial" w:hAnsi="Arial" w:cs="Arial"/>
                <w:sz w:val="20"/>
                <w:szCs w:val="20"/>
              </w:rPr>
            </w:pPr>
          </w:p>
          <w:p w14:paraId="735101C3"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Add at the end of the paragraph, “Since then there have been three more publications of the updated SHELAA: 2020, 2020 Addendum, and 2022. In considering Appendix 4, it should be borne in mind that it precedes these updated versions.”</w:t>
            </w:r>
          </w:p>
        </w:tc>
        <w:tc>
          <w:tcPr>
            <w:tcW w:w="5564" w:type="dxa"/>
          </w:tcPr>
          <w:p w14:paraId="1404C331"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HBBC agree, modification to be made because the text could give the incorrect impression that the 2018 SHELAA was the latest version when there have since been three further updates (2020, the 2020 Addendum and 2022). The modification corrects a factual error and provides clarity that the relevant appendix predates these later versions and that site positions may have changed.</w:t>
            </w:r>
          </w:p>
          <w:p w14:paraId="05BD827D" w14:textId="77777777" w:rsidR="006D1DCF" w:rsidRDefault="006D1DCF" w:rsidP="00BC3A82">
            <w:pPr>
              <w:spacing w:before="120" w:after="120" w:line="276" w:lineRule="auto"/>
              <w:rPr>
                <w:rFonts w:ascii="Arial" w:eastAsia="Arial" w:hAnsi="Arial" w:cs="Arial"/>
                <w:sz w:val="20"/>
                <w:szCs w:val="20"/>
              </w:rPr>
            </w:pPr>
          </w:p>
        </w:tc>
      </w:tr>
      <w:tr w:rsidR="00F62774" w14:paraId="083C9644" w14:textId="77777777" w:rsidTr="00724BEF">
        <w:tc>
          <w:tcPr>
            <w:tcW w:w="1734" w:type="dxa"/>
          </w:tcPr>
          <w:p w14:paraId="0AE644CB"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5</w:t>
            </w:r>
          </w:p>
        </w:tc>
        <w:tc>
          <w:tcPr>
            <w:tcW w:w="1947" w:type="dxa"/>
          </w:tcPr>
          <w:p w14:paraId="3EE9D0AD" w14:textId="15B18B1A" w:rsidR="00F62774" w:rsidRDefault="00570BA4" w:rsidP="00BC3A82">
            <w:pPr>
              <w:spacing w:before="120" w:after="120" w:line="276" w:lineRule="auto"/>
              <w:rPr>
                <w:rFonts w:ascii="Arial" w:eastAsia="Arial" w:hAnsi="Arial" w:cs="Arial"/>
                <w:sz w:val="20"/>
                <w:szCs w:val="20"/>
              </w:rPr>
            </w:pPr>
            <w:r w:rsidRPr="00570BA4">
              <w:rPr>
                <w:rFonts w:ascii="Arial" w:eastAsia="Arial" w:hAnsi="Arial" w:cs="Arial"/>
                <w:sz w:val="20"/>
                <w:szCs w:val="20"/>
              </w:rPr>
              <w:t>Page 18</w:t>
            </w:r>
          </w:p>
        </w:tc>
        <w:tc>
          <w:tcPr>
            <w:tcW w:w="3723" w:type="dxa"/>
          </w:tcPr>
          <w:p w14:paraId="2AF747C7"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 xml:space="preserve">The Examiner discusses the modification on page 18 in the last three paragraphs. </w:t>
            </w:r>
          </w:p>
        </w:tc>
        <w:tc>
          <w:tcPr>
            <w:tcW w:w="7475" w:type="dxa"/>
          </w:tcPr>
          <w:p w14:paraId="6B896958"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Replace all from “Since commencement of the Local Plan” with:</w:t>
            </w:r>
          </w:p>
          <w:p w14:paraId="22A75BA0" w14:textId="77777777" w:rsidR="006D1DCF" w:rsidRDefault="006D1DCF" w:rsidP="00BC3A82">
            <w:pPr>
              <w:spacing w:before="120" w:after="120" w:line="276" w:lineRule="auto"/>
              <w:rPr>
                <w:rFonts w:ascii="Arial" w:eastAsia="Arial" w:hAnsi="Arial" w:cs="Arial"/>
                <w:sz w:val="20"/>
                <w:szCs w:val="20"/>
              </w:rPr>
            </w:pPr>
          </w:p>
          <w:p w14:paraId="119B3CD3"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“Since commencement of the Local Plan, planning permission has been granted for 49 dwellings off Beech Drive, Thornton. This is reflected in this Plan.</w:t>
            </w:r>
          </w:p>
          <w:p w14:paraId="0B7914D7"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 xml:space="preserve">The following sites, coloured blue on figures 2, 3 and 4 have been identified. </w:t>
            </w:r>
          </w:p>
          <w:p w14:paraId="3F2139B2"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 Thornton, land to the rear of Main Street;</w:t>
            </w:r>
          </w:p>
          <w:p w14:paraId="78AF4757"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 xml:space="preserve">- Thornton, land off Beech Drive; </w:t>
            </w:r>
          </w:p>
          <w:p w14:paraId="7750C119"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 Thornton Nurseries; and</w:t>
            </w:r>
          </w:p>
          <w:p w14:paraId="1238ABEE"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 Stanton under Bardon, land off Main Street.”</w:t>
            </w:r>
          </w:p>
          <w:p w14:paraId="700CDCE2" w14:textId="77777777" w:rsidR="006D1DCF" w:rsidRDefault="006D1DCF" w:rsidP="00BC3A82">
            <w:pPr>
              <w:spacing w:before="120" w:after="120" w:line="276" w:lineRule="auto"/>
              <w:rPr>
                <w:rFonts w:ascii="Arial" w:eastAsia="Arial" w:hAnsi="Arial" w:cs="Arial"/>
                <w:sz w:val="20"/>
                <w:szCs w:val="20"/>
              </w:rPr>
            </w:pPr>
          </w:p>
        </w:tc>
        <w:tc>
          <w:tcPr>
            <w:tcW w:w="5564" w:type="dxa"/>
          </w:tcPr>
          <w:p w14:paraId="3882AD3C"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 xml:space="preserve">HBBC agree, modification to be made because the revised text accurately reflects the planning permission granted off Beech Drive, Thornton, and correctly identifies the sites coloured blue on figures 2, 3 and 4. This provides clarity and consistency with the figures and supporting </w:t>
            </w:r>
            <w:proofErr w:type="gramStart"/>
            <w:r>
              <w:rPr>
                <w:rFonts w:ascii="Arial" w:eastAsia="Arial" w:hAnsi="Arial" w:cs="Arial"/>
                <w:sz w:val="20"/>
                <w:szCs w:val="20"/>
              </w:rPr>
              <w:t>evidence, and</w:t>
            </w:r>
            <w:proofErr w:type="gramEnd"/>
            <w:r>
              <w:rPr>
                <w:rFonts w:ascii="Arial" w:eastAsia="Arial" w:hAnsi="Arial" w:cs="Arial"/>
                <w:sz w:val="20"/>
                <w:szCs w:val="20"/>
              </w:rPr>
              <w:t xml:space="preserve"> avoids reliance on out-of-date information.</w:t>
            </w:r>
          </w:p>
        </w:tc>
      </w:tr>
      <w:tr w:rsidR="00F62774" w14:paraId="773149F8" w14:textId="77777777" w:rsidTr="00724BEF">
        <w:tc>
          <w:tcPr>
            <w:tcW w:w="1734" w:type="dxa"/>
          </w:tcPr>
          <w:p w14:paraId="175D5C6A"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6</w:t>
            </w:r>
          </w:p>
        </w:tc>
        <w:tc>
          <w:tcPr>
            <w:tcW w:w="1947" w:type="dxa"/>
          </w:tcPr>
          <w:p w14:paraId="73AEFA57" w14:textId="315B31E6" w:rsidR="00F62774" w:rsidRDefault="00570BA4" w:rsidP="00BC3A82">
            <w:pPr>
              <w:spacing w:before="120" w:after="120" w:line="276" w:lineRule="auto"/>
              <w:rPr>
                <w:rFonts w:ascii="Arial" w:eastAsia="Arial" w:hAnsi="Arial" w:cs="Arial"/>
                <w:sz w:val="20"/>
                <w:szCs w:val="20"/>
              </w:rPr>
            </w:pPr>
            <w:r w:rsidRPr="00570BA4">
              <w:rPr>
                <w:rFonts w:ascii="Arial" w:eastAsia="Arial" w:hAnsi="Arial" w:cs="Arial"/>
                <w:sz w:val="20"/>
                <w:szCs w:val="20"/>
              </w:rPr>
              <w:t>Page 19, policy H1, first paragraph</w:t>
            </w:r>
          </w:p>
        </w:tc>
        <w:tc>
          <w:tcPr>
            <w:tcW w:w="3723" w:type="dxa"/>
          </w:tcPr>
          <w:p w14:paraId="1AC6BF6A" w14:textId="77777777" w:rsidR="00F62774" w:rsidRDefault="007E0D52" w:rsidP="00BC3A82">
            <w:pPr>
              <w:spacing w:before="120" w:after="120" w:line="276" w:lineRule="auto"/>
              <w:rPr>
                <w:rFonts w:ascii="Arial" w:eastAsia="Arial" w:hAnsi="Arial" w:cs="Arial"/>
                <w:sz w:val="20"/>
                <w:szCs w:val="20"/>
                <w:highlight w:val="yellow"/>
              </w:rPr>
            </w:pPr>
            <w:r>
              <w:rPr>
                <w:rFonts w:ascii="Arial" w:eastAsia="Arial" w:hAnsi="Arial" w:cs="Arial"/>
                <w:sz w:val="20"/>
                <w:szCs w:val="20"/>
              </w:rPr>
              <w:t xml:space="preserve">The Examiner discusses modification 6 on page 19 within the first paragraph. </w:t>
            </w:r>
          </w:p>
        </w:tc>
        <w:tc>
          <w:tcPr>
            <w:tcW w:w="7475" w:type="dxa"/>
          </w:tcPr>
          <w:p w14:paraId="55A9F6E2"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 xml:space="preserve">Replace this with “Settlement Boundary - Development proposals that comply with the policies of this Plan will be supported on the sites: </w:t>
            </w:r>
          </w:p>
          <w:p w14:paraId="747130D6"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 xml:space="preserve">(1) within the three settlement boundaries as shown in Figures 2, 3 and 4 (below) including the sites coloured blue; </w:t>
            </w:r>
          </w:p>
          <w:p w14:paraId="356B81CC"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 xml:space="preserve">(2) within any extension of those boundaries by a subsequent development plan.  </w:t>
            </w:r>
          </w:p>
        </w:tc>
        <w:tc>
          <w:tcPr>
            <w:tcW w:w="5564" w:type="dxa"/>
          </w:tcPr>
          <w:p w14:paraId="64CF0387"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 xml:space="preserve">HBBC agree, modification to be made because the revised wording clarifies how the settlement boundaries operate, including the sites coloured blue and any future extension of those boundaries by a subsequent development plan. This provides clarity and helps ensure the Plan is not quickly rendered out of date, supporting the contribution of the Plan </w:t>
            </w:r>
            <w:r>
              <w:rPr>
                <w:rFonts w:ascii="Arial" w:eastAsia="Arial" w:hAnsi="Arial" w:cs="Arial"/>
                <w:sz w:val="20"/>
                <w:szCs w:val="20"/>
              </w:rPr>
              <w:lastRenderedPageBreak/>
              <w:t>to the achievement of sustainable development (basic condition (d)).</w:t>
            </w:r>
          </w:p>
          <w:p w14:paraId="785F32EB" w14:textId="77777777" w:rsidR="006D1DCF" w:rsidRDefault="006D1DCF" w:rsidP="00BC3A82">
            <w:pPr>
              <w:spacing w:before="120" w:after="120" w:line="276" w:lineRule="auto"/>
              <w:rPr>
                <w:rFonts w:ascii="Arial" w:eastAsia="Arial" w:hAnsi="Arial" w:cs="Arial"/>
                <w:sz w:val="20"/>
                <w:szCs w:val="20"/>
              </w:rPr>
            </w:pPr>
          </w:p>
        </w:tc>
      </w:tr>
      <w:tr w:rsidR="00F62774" w14:paraId="58674630" w14:textId="77777777" w:rsidTr="00724BEF">
        <w:tc>
          <w:tcPr>
            <w:tcW w:w="1734" w:type="dxa"/>
          </w:tcPr>
          <w:p w14:paraId="38EF9ED0"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lastRenderedPageBreak/>
              <w:t>7</w:t>
            </w:r>
          </w:p>
        </w:tc>
        <w:tc>
          <w:tcPr>
            <w:tcW w:w="1947" w:type="dxa"/>
          </w:tcPr>
          <w:p w14:paraId="5BAC64CE" w14:textId="5A7D5A33" w:rsidR="00F62774" w:rsidRDefault="00570BA4" w:rsidP="00BC3A82">
            <w:pPr>
              <w:spacing w:before="120" w:after="120" w:line="276" w:lineRule="auto"/>
              <w:rPr>
                <w:rFonts w:ascii="Arial" w:eastAsia="Arial" w:hAnsi="Arial" w:cs="Arial"/>
                <w:sz w:val="20"/>
                <w:szCs w:val="20"/>
              </w:rPr>
            </w:pPr>
            <w:r w:rsidRPr="00570BA4">
              <w:rPr>
                <w:rFonts w:ascii="Arial" w:eastAsia="Arial" w:hAnsi="Arial" w:cs="Arial"/>
                <w:sz w:val="20"/>
                <w:szCs w:val="20"/>
              </w:rPr>
              <w:t>Page 19, policy H1</w:t>
            </w:r>
            <w:r>
              <w:rPr>
                <w:rFonts w:ascii="Arial" w:eastAsia="Arial" w:hAnsi="Arial" w:cs="Arial"/>
                <w:sz w:val="20"/>
                <w:szCs w:val="20"/>
              </w:rPr>
              <w:t xml:space="preserve"> </w:t>
            </w:r>
          </w:p>
        </w:tc>
        <w:tc>
          <w:tcPr>
            <w:tcW w:w="3723" w:type="dxa"/>
          </w:tcPr>
          <w:p w14:paraId="7FA42B78"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 xml:space="preserve">The Examiner discusses modification 7 on page 19 on the current final sentence. </w:t>
            </w:r>
          </w:p>
        </w:tc>
        <w:tc>
          <w:tcPr>
            <w:tcW w:w="7475" w:type="dxa"/>
          </w:tcPr>
          <w:p w14:paraId="5824855E"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Replace this with, “Land outside the defined settlement boundaries shown on figures 2,3 and 4 is open countryside, where, subject to the policies of this Plan, national and local open countryside policy applies.”</w:t>
            </w:r>
          </w:p>
        </w:tc>
        <w:tc>
          <w:tcPr>
            <w:tcW w:w="5564" w:type="dxa"/>
          </w:tcPr>
          <w:p w14:paraId="542E4BEC"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HBBC agree, modification to be made because the current final sentence was too imprecise. The revised wording clarifies that land outside the defined settlement boundaries is open countryside to which national and local open countryside policy applies, providing certainty for decision-makers.</w:t>
            </w:r>
          </w:p>
          <w:p w14:paraId="0C1D3AD9" w14:textId="77777777" w:rsidR="004267C0" w:rsidRDefault="004267C0" w:rsidP="00BC3A82">
            <w:pPr>
              <w:spacing w:before="120" w:after="120" w:line="276" w:lineRule="auto"/>
              <w:rPr>
                <w:rFonts w:ascii="Arial" w:eastAsia="Arial" w:hAnsi="Arial" w:cs="Arial"/>
                <w:sz w:val="20"/>
                <w:szCs w:val="20"/>
              </w:rPr>
            </w:pPr>
          </w:p>
        </w:tc>
      </w:tr>
      <w:tr w:rsidR="00F62774" w14:paraId="57DF3177" w14:textId="77777777" w:rsidTr="00724BEF">
        <w:tc>
          <w:tcPr>
            <w:tcW w:w="1734" w:type="dxa"/>
          </w:tcPr>
          <w:p w14:paraId="0CFC717D"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8</w:t>
            </w:r>
          </w:p>
        </w:tc>
        <w:tc>
          <w:tcPr>
            <w:tcW w:w="1947" w:type="dxa"/>
          </w:tcPr>
          <w:p w14:paraId="4B9A77EA" w14:textId="0B09926A" w:rsidR="00F62774" w:rsidRDefault="00570BA4" w:rsidP="00BC3A82">
            <w:pPr>
              <w:spacing w:before="120" w:after="120" w:line="276" w:lineRule="auto"/>
              <w:rPr>
                <w:rFonts w:ascii="Arial" w:eastAsia="Arial" w:hAnsi="Arial" w:cs="Arial"/>
                <w:sz w:val="20"/>
                <w:szCs w:val="20"/>
              </w:rPr>
            </w:pPr>
            <w:r w:rsidRPr="00570BA4">
              <w:rPr>
                <w:rFonts w:ascii="Arial" w:eastAsia="Arial" w:hAnsi="Arial" w:cs="Arial"/>
                <w:sz w:val="20"/>
                <w:szCs w:val="20"/>
              </w:rPr>
              <w:t>Page 19, policy H1</w:t>
            </w:r>
            <w:r>
              <w:rPr>
                <w:rFonts w:ascii="Arial" w:eastAsia="Arial" w:hAnsi="Arial" w:cs="Arial"/>
                <w:sz w:val="20"/>
                <w:szCs w:val="20"/>
              </w:rPr>
              <w:t xml:space="preserve"> </w:t>
            </w:r>
          </w:p>
        </w:tc>
        <w:tc>
          <w:tcPr>
            <w:tcW w:w="3723" w:type="dxa"/>
          </w:tcPr>
          <w:p w14:paraId="7FF72BFD"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 xml:space="preserve">The Examiner discusses modification 8 on page 19 in the new final sentence. </w:t>
            </w:r>
          </w:p>
        </w:tc>
        <w:tc>
          <w:tcPr>
            <w:tcW w:w="7475" w:type="dxa"/>
          </w:tcPr>
          <w:p w14:paraId="485F7CE6"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Add at the end of the policy, “The provision of a primary school outside the settlement boundary on a site is physically well-related to the village of Bagworth and complies with the policies of this Plan will be supported.”</w:t>
            </w:r>
          </w:p>
        </w:tc>
        <w:tc>
          <w:tcPr>
            <w:tcW w:w="5564" w:type="dxa"/>
          </w:tcPr>
          <w:p w14:paraId="1C7C7A73"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HBBC agree, modification to be made because even with the recommended boundary changes the settlement boundary is tightly drawn and would otherwise prevent the provision of the needed primary school. Supporting school provision on a well-related site, having regard to NPPF paragraph 89, is necessary to avoid preventing sustainable development and to meet basic condition (d).</w:t>
            </w:r>
          </w:p>
          <w:p w14:paraId="1247644A" w14:textId="77777777" w:rsidR="004267C0" w:rsidRDefault="004267C0" w:rsidP="00BC3A82">
            <w:pPr>
              <w:spacing w:before="120" w:after="120" w:line="276" w:lineRule="auto"/>
              <w:rPr>
                <w:rFonts w:ascii="Arial" w:eastAsia="Arial" w:hAnsi="Arial" w:cs="Arial"/>
                <w:sz w:val="20"/>
                <w:szCs w:val="20"/>
              </w:rPr>
            </w:pPr>
          </w:p>
        </w:tc>
      </w:tr>
      <w:tr w:rsidR="00F62774" w14:paraId="70180322" w14:textId="77777777" w:rsidTr="00724BEF">
        <w:tc>
          <w:tcPr>
            <w:tcW w:w="1734" w:type="dxa"/>
          </w:tcPr>
          <w:p w14:paraId="2879801E"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9</w:t>
            </w:r>
          </w:p>
        </w:tc>
        <w:tc>
          <w:tcPr>
            <w:tcW w:w="1947" w:type="dxa"/>
          </w:tcPr>
          <w:p w14:paraId="5834C93A" w14:textId="561060B9" w:rsidR="00F62774" w:rsidRDefault="00570BA4" w:rsidP="00BC3A82">
            <w:pPr>
              <w:spacing w:before="120" w:after="120" w:line="276" w:lineRule="auto"/>
              <w:rPr>
                <w:rFonts w:ascii="Arial" w:eastAsia="Arial" w:hAnsi="Arial" w:cs="Arial"/>
                <w:sz w:val="20"/>
                <w:szCs w:val="20"/>
              </w:rPr>
            </w:pPr>
            <w:r w:rsidRPr="00570BA4">
              <w:rPr>
                <w:rFonts w:ascii="Arial" w:eastAsia="Arial" w:hAnsi="Arial" w:cs="Arial"/>
                <w:sz w:val="20"/>
                <w:szCs w:val="20"/>
              </w:rPr>
              <w:t xml:space="preserve">Page 20, figure 2  </w:t>
            </w:r>
          </w:p>
        </w:tc>
        <w:tc>
          <w:tcPr>
            <w:tcW w:w="3723" w:type="dxa"/>
          </w:tcPr>
          <w:p w14:paraId="7C189719"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 xml:space="preserve">The Examiner discusses modification 9 on page 20, figure 2. </w:t>
            </w:r>
          </w:p>
        </w:tc>
        <w:tc>
          <w:tcPr>
            <w:tcW w:w="7475" w:type="dxa"/>
          </w:tcPr>
          <w:p w14:paraId="5669A2E6"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Amend the settlement boundary so that the settlement also includes:</w:t>
            </w:r>
          </w:p>
          <w:p w14:paraId="2D9B4578"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 xml:space="preserve">(1) all land enclosed by the settlement boundary in the Local Plan Site Allocations and Development Management Policies DPD, </w:t>
            </w:r>
          </w:p>
          <w:p w14:paraId="38C4E65C"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 xml:space="preserve">(2) the land proposed as an allocation site in the latest draft of the draft Local Plan under site reference LPR221. </w:t>
            </w:r>
          </w:p>
        </w:tc>
        <w:tc>
          <w:tcPr>
            <w:tcW w:w="5564" w:type="dxa"/>
          </w:tcPr>
          <w:p w14:paraId="30244D73"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HBBC agree, modification to be made because the draft figure drew the boundary more tightly than the adopted Site Allocations and Development Management Policies DPD, an unjustified departure from development plan strategic policy. Amending the boundary to include the SADMP land together with allocation site LPR221 provides deliverable land for around 46 dwellings and is necessary to avoid preventing sustainable development (basic condition (d)).</w:t>
            </w:r>
          </w:p>
          <w:p w14:paraId="74C6221F" w14:textId="77777777" w:rsidR="004267C0" w:rsidRDefault="004267C0" w:rsidP="00BC3A82">
            <w:pPr>
              <w:spacing w:before="120" w:after="120" w:line="276" w:lineRule="auto"/>
              <w:rPr>
                <w:rFonts w:ascii="Arial" w:eastAsia="Arial" w:hAnsi="Arial" w:cs="Arial"/>
                <w:sz w:val="20"/>
                <w:szCs w:val="20"/>
              </w:rPr>
            </w:pPr>
          </w:p>
        </w:tc>
      </w:tr>
      <w:tr w:rsidR="00F62774" w14:paraId="402849CE" w14:textId="77777777" w:rsidTr="00724BEF">
        <w:tc>
          <w:tcPr>
            <w:tcW w:w="1734" w:type="dxa"/>
          </w:tcPr>
          <w:p w14:paraId="643D2390"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 xml:space="preserve">10 </w:t>
            </w:r>
          </w:p>
        </w:tc>
        <w:tc>
          <w:tcPr>
            <w:tcW w:w="1947" w:type="dxa"/>
          </w:tcPr>
          <w:p w14:paraId="188A4107" w14:textId="7EA080D2" w:rsidR="00F62774" w:rsidRDefault="00570BA4" w:rsidP="00BC3A82">
            <w:pPr>
              <w:spacing w:before="120" w:after="120" w:line="276" w:lineRule="auto"/>
              <w:rPr>
                <w:rFonts w:ascii="Arial" w:eastAsia="Arial" w:hAnsi="Arial" w:cs="Arial"/>
                <w:sz w:val="20"/>
                <w:szCs w:val="20"/>
              </w:rPr>
            </w:pPr>
            <w:r w:rsidRPr="00570BA4">
              <w:rPr>
                <w:rFonts w:ascii="Arial" w:eastAsia="Arial" w:hAnsi="Arial" w:cs="Arial"/>
                <w:sz w:val="20"/>
                <w:szCs w:val="20"/>
              </w:rPr>
              <w:t>Page 21, figure 3, and Page 22, figure 4</w:t>
            </w:r>
          </w:p>
        </w:tc>
        <w:tc>
          <w:tcPr>
            <w:tcW w:w="3723" w:type="dxa"/>
          </w:tcPr>
          <w:p w14:paraId="0AED6ABC"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 xml:space="preserve">The Examiner discusses modification 10 on page 24, figure 3 and page 22, figure 4 respectively. </w:t>
            </w:r>
          </w:p>
        </w:tc>
        <w:tc>
          <w:tcPr>
            <w:tcW w:w="7475" w:type="dxa"/>
          </w:tcPr>
          <w:p w14:paraId="512462D2"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 xml:space="preserve">Amend the settlement boundaries so that all land enclosed by the settlement boundary in the Local Plan Site Allocations and Development Management Policies DPD is included within the settlement together with land added to the settlement by this Plan. </w:t>
            </w:r>
          </w:p>
        </w:tc>
        <w:tc>
          <w:tcPr>
            <w:tcW w:w="5564" w:type="dxa"/>
          </w:tcPr>
          <w:p w14:paraId="0DB33CB5"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HBBC agree, modification to be made because the draft boundaries were more tightly drawn than the adopted SADMP, which would restrict development without robust evidence to justify the departure. Amending the boundaries to include all land within the settlement in the SADMP, while retaining the additional land added by the Plan, corrects this and supports the achievement of sustainable development (basic condition (d))</w:t>
            </w:r>
            <w:r w:rsidR="00432F6E">
              <w:rPr>
                <w:rFonts w:ascii="Arial" w:eastAsia="Arial" w:hAnsi="Arial" w:cs="Arial"/>
                <w:sz w:val="20"/>
                <w:szCs w:val="20"/>
              </w:rPr>
              <w:t>, and provides consistency across the development plan.</w:t>
            </w:r>
          </w:p>
          <w:p w14:paraId="7BEFF8CA" w14:textId="135F8E01" w:rsidR="00432F6E" w:rsidRDefault="00432F6E" w:rsidP="00BC3A82">
            <w:pPr>
              <w:spacing w:before="120" w:after="120" w:line="276" w:lineRule="auto"/>
              <w:rPr>
                <w:rFonts w:ascii="Arial" w:eastAsia="Arial" w:hAnsi="Arial" w:cs="Arial"/>
                <w:sz w:val="20"/>
                <w:szCs w:val="20"/>
              </w:rPr>
            </w:pPr>
          </w:p>
        </w:tc>
      </w:tr>
      <w:tr w:rsidR="00F62774" w14:paraId="3DBC2619" w14:textId="77777777" w:rsidTr="00724BEF">
        <w:tc>
          <w:tcPr>
            <w:tcW w:w="1734" w:type="dxa"/>
          </w:tcPr>
          <w:p w14:paraId="64A43761"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11</w:t>
            </w:r>
          </w:p>
        </w:tc>
        <w:tc>
          <w:tcPr>
            <w:tcW w:w="1947" w:type="dxa"/>
          </w:tcPr>
          <w:p w14:paraId="0AED7263" w14:textId="4DA5C10D" w:rsidR="00F62774" w:rsidRDefault="00570BA4" w:rsidP="00BC3A82">
            <w:pPr>
              <w:spacing w:before="120" w:after="120" w:line="276" w:lineRule="auto"/>
              <w:rPr>
                <w:rFonts w:ascii="Arial" w:eastAsia="Arial" w:hAnsi="Arial" w:cs="Arial"/>
                <w:sz w:val="20"/>
                <w:szCs w:val="20"/>
              </w:rPr>
            </w:pPr>
            <w:r>
              <w:rPr>
                <w:rFonts w:ascii="Arial" w:eastAsia="Arial" w:hAnsi="Arial" w:cs="Arial"/>
                <w:sz w:val="20"/>
                <w:szCs w:val="20"/>
              </w:rPr>
              <w:t>Page 23, Policy H</w:t>
            </w:r>
            <w:r w:rsidR="00724BEF">
              <w:rPr>
                <w:rFonts w:ascii="Arial" w:eastAsia="Arial" w:hAnsi="Arial" w:cs="Arial"/>
                <w:sz w:val="20"/>
                <w:szCs w:val="20"/>
              </w:rPr>
              <w:t>2</w:t>
            </w:r>
          </w:p>
        </w:tc>
        <w:tc>
          <w:tcPr>
            <w:tcW w:w="3723" w:type="dxa"/>
          </w:tcPr>
          <w:p w14:paraId="5249F3E4"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 xml:space="preserve">The Examiner discusses modification 11 on page 23, Policy H2. </w:t>
            </w:r>
          </w:p>
        </w:tc>
        <w:tc>
          <w:tcPr>
            <w:tcW w:w="7475" w:type="dxa"/>
          </w:tcPr>
          <w:p w14:paraId="7A1E46F2"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 xml:space="preserve">Delete “(which can include accommodation for older people which should be built to the M4(2) Building Regulations 2016 or any future standard updating this)”. </w:t>
            </w:r>
          </w:p>
        </w:tc>
        <w:tc>
          <w:tcPr>
            <w:tcW w:w="5564" w:type="dxa"/>
          </w:tcPr>
          <w:p w14:paraId="66A9136B"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HBBC agree, modification to be made because Building Regulations are controlled by separate legislation and are not a matter for planning policy. The deleted wording is therefore unnecessary, and its removal provides clarity and ensures the Plan has regard to national policy and the proper scope of an NDP.</w:t>
            </w:r>
          </w:p>
          <w:p w14:paraId="769498F0" w14:textId="77777777" w:rsidR="00570BA4" w:rsidRDefault="00570BA4" w:rsidP="00BC3A82">
            <w:pPr>
              <w:spacing w:before="120" w:after="120" w:line="276" w:lineRule="auto"/>
              <w:rPr>
                <w:rFonts w:ascii="Arial" w:eastAsia="Arial" w:hAnsi="Arial" w:cs="Arial"/>
                <w:sz w:val="20"/>
                <w:szCs w:val="20"/>
              </w:rPr>
            </w:pPr>
          </w:p>
        </w:tc>
      </w:tr>
      <w:tr w:rsidR="00F62774" w14:paraId="199AB92C" w14:textId="77777777" w:rsidTr="00724BEF">
        <w:tc>
          <w:tcPr>
            <w:tcW w:w="1734" w:type="dxa"/>
          </w:tcPr>
          <w:p w14:paraId="760E711C"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lastRenderedPageBreak/>
              <w:t>12</w:t>
            </w:r>
          </w:p>
        </w:tc>
        <w:tc>
          <w:tcPr>
            <w:tcW w:w="1947" w:type="dxa"/>
          </w:tcPr>
          <w:p w14:paraId="23162BD2" w14:textId="29453635" w:rsidR="00F62774" w:rsidRDefault="00724BEF" w:rsidP="00BC3A82">
            <w:pPr>
              <w:spacing w:before="120" w:after="120" w:line="276" w:lineRule="auto"/>
              <w:rPr>
                <w:rFonts w:ascii="Arial" w:eastAsia="Arial" w:hAnsi="Arial" w:cs="Arial"/>
                <w:sz w:val="20"/>
                <w:szCs w:val="20"/>
              </w:rPr>
            </w:pPr>
            <w:r w:rsidRPr="00724BEF">
              <w:rPr>
                <w:rFonts w:ascii="Arial" w:eastAsia="Arial" w:hAnsi="Arial" w:cs="Arial"/>
                <w:sz w:val="20"/>
                <w:szCs w:val="20"/>
              </w:rPr>
              <w:t>Page 2</w:t>
            </w:r>
            <w:r>
              <w:rPr>
                <w:rFonts w:ascii="Arial" w:eastAsia="Arial" w:hAnsi="Arial" w:cs="Arial"/>
                <w:sz w:val="20"/>
                <w:szCs w:val="20"/>
              </w:rPr>
              <w:t>4</w:t>
            </w:r>
            <w:r w:rsidRPr="00724BEF">
              <w:rPr>
                <w:rFonts w:ascii="Arial" w:eastAsia="Arial" w:hAnsi="Arial" w:cs="Arial"/>
                <w:sz w:val="20"/>
                <w:szCs w:val="20"/>
              </w:rPr>
              <w:t>, policy H</w:t>
            </w:r>
            <w:r>
              <w:rPr>
                <w:rFonts w:ascii="Arial" w:eastAsia="Arial" w:hAnsi="Arial" w:cs="Arial"/>
                <w:sz w:val="20"/>
                <w:szCs w:val="20"/>
              </w:rPr>
              <w:t>3</w:t>
            </w:r>
          </w:p>
        </w:tc>
        <w:tc>
          <w:tcPr>
            <w:tcW w:w="3723" w:type="dxa"/>
          </w:tcPr>
          <w:p w14:paraId="249BD974"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 xml:space="preserve">The Examiner discusses modification 12 on page 24, within the third line. </w:t>
            </w:r>
          </w:p>
        </w:tc>
        <w:tc>
          <w:tcPr>
            <w:tcW w:w="7475" w:type="dxa"/>
          </w:tcPr>
          <w:p w14:paraId="09F1F988" w14:textId="0276AD3A"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Replace this with, “based on the Bagworth &amp; Thornton and Stanton-Under-Bardon Housing Needs Evidence October, Parish Housing Needs Survey Report 2019 (Appendix 3), Hinckley &amp; Bosworth Borough Council Housing Needs Study 2024, together with any or updating of these.”</w:t>
            </w:r>
          </w:p>
        </w:tc>
        <w:tc>
          <w:tcPr>
            <w:tcW w:w="5564" w:type="dxa"/>
          </w:tcPr>
          <w:p w14:paraId="17FC2E15"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HBBC agree, modification to be made because the policy needed to be updated to reference the current housing needs evidence, including the 2019 Parish Housing Needs Survey Report and the 2024 HBBC Housing Needs Study. This corrects an out-of-date reference and provides an accurate, up-to-date evidence base for the policy.</w:t>
            </w:r>
          </w:p>
          <w:p w14:paraId="22FE8756" w14:textId="77777777" w:rsidR="00570BA4" w:rsidRDefault="00570BA4" w:rsidP="00BC3A82">
            <w:pPr>
              <w:spacing w:before="120" w:after="120" w:line="276" w:lineRule="auto"/>
              <w:rPr>
                <w:rFonts w:ascii="Arial" w:eastAsia="Arial" w:hAnsi="Arial" w:cs="Arial"/>
                <w:sz w:val="20"/>
                <w:szCs w:val="20"/>
              </w:rPr>
            </w:pPr>
          </w:p>
        </w:tc>
      </w:tr>
      <w:tr w:rsidR="00F62774" w14:paraId="7049438F" w14:textId="77777777" w:rsidTr="00724BEF">
        <w:tc>
          <w:tcPr>
            <w:tcW w:w="1734" w:type="dxa"/>
          </w:tcPr>
          <w:p w14:paraId="5FBE9909"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13</w:t>
            </w:r>
          </w:p>
        </w:tc>
        <w:tc>
          <w:tcPr>
            <w:tcW w:w="1947" w:type="dxa"/>
          </w:tcPr>
          <w:p w14:paraId="2E01D61F" w14:textId="1FCAAE94" w:rsidR="00F62774" w:rsidRDefault="00724BEF" w:rsidP="00BC3A82">
            <w:pPr>
              <w:spacing w:before="120" w:after="120" w:line="276" w:lineRule="auto"/>
              <w:rPr>
                <w:rFonts w:ascii="Arial" w:eastAsia="Arial" w:hAnsi="Arial" w:cs="Arial"/>
                <w:sz w:val="20"/>
                <w:szCs w:val="20"/>
              </w:rPr>
            </w:pPr>
            <w:r w:rsidRPr="00724BEF">
              <w:rPr>
                <w:rFonts w:ascii="Arial" w:eastAsia="Arial" w:hAnsi="Arial" w:cs="Arial"/>
                <w:sz w:val="20"/>
                <w:szCs w:val="20"/>
              </w:rPr>
              <w:t>Page 25</w:t>
            </w:r>
          </w:p>
        </w:tc>
        <w:tc>
          <w:tcPr>
            <w:tcW w:w="3723" w:type="dxa"/>
          </w:tcPr>
          <w:p w14:paraId="178033AA"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 xml:space="preserve">The Examiner discusses modification 13 on page 25 in the first paragraph, final sentence. </w:t>
            </w:r>
          </w:p>
        </w:tc>
        <w:tc>
          <w:tcPr>
            <w:tcW w:w="7475" w:type="dxa"/>
          </w:tcPr>
          <w:p w14:paraId="2C4AB06A" w14:textId="6CB04BDE"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 xml:space="preserve">Add at the end, “or any previously developed land that is well-related to an existing settlement and complies with the policies of this Plan (other than in respect of the settlement boundary)”. </w:t>
            </w:r>
          </w:p>
        </w:tc>
        <w:tc>
          <w:tcPr>
            <w:tcW w:w="5564" w:type="dxa"/>
          </w:tcPr>
          <w:p w14:paraId="754B4AC8"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HBBC agree, modification to be made because the final sentence was too absolute and, contrary to NPPF paragraphs 89 and 124(c), would wrongly exclude previously developed land and sites physically well-related to a settlement from coming forward as windfall. The addition provides a less restrictive, NPPF-compliant approach that supports sustainable development.</w:t>
            </w:r>
          </w:p>
          <w:p w14:paraId="485E9A10" w14:textId="77777777" w:rsidR="00570BA4" w:rsidRDefault="00570BA4" w:rsidP="00BC3A82">
            <w:pPr>
              <w:spacing w:before="120" w:after="120" w:line="276" w:lineRule="auto"/>
              <w:rPr>
                <w:rFonts w:ascii="Arial" w:eastAsia="Arial" w:hAnsi="Arial" w:cs="Arial"/>
                <w:sz w:val="20"/>
                <w:szCs w:val="20"/>
              </w:rPr>
            </w:pPr>
          </w:p>
        </w:tc>
      </w:tr>
      <w:tr w:rsidR="00F62774" w14:paraId="6A13CDD6" w14:textId="77777777" w:rsidTr="00724BEF">
        <w:tc>
          <w:tcPr>
            <w:tcW w:w="1734" w:type="dxa"/>
          </w:tcPr>
          <w:p w14:paraId="45B1A66E" w14:textId="77777777" w:rsidR="00F62774" w:rsidRDefault="00F62774" w:rsidP="00BC3A82">
            <w:pPr>
              <w:spacing w:before="120" w:after="120" w:line="276" w:lineRule="auto"/>
              <w:rPr>
                <w:rFonts w:ascii="Arial" w:eastAsia="Arial" w:hAnsi="Arial" w:cs="Arial"/>
                <w:sz w:val="20"/>
                <w:szCs w:val="20"/>
              </w:rPr>
            </w:pPr>
          </w:p>
        </w:tc>
        <w:tc>
          <w:tcPr>
            <w:tcW w:w="1947" w:type="dxa"/>
          </w:tcPr>
          <w:p w14:paraId="4B4AAFF0" w14:textId="51E130A3" w:rsidR="00F62774" w:rsidRDefault="00570BA4" w:rsidP="00BC3A82">
            <w:pPr>
              <w:spacing w:before="120" w:after="120" w:line="276" w:lineRule="auto"/>
              <w:rPr>
                <w:rFonts w:ascii="Arial" w:eastAsia="Arial" w:hAnsi="Arial" w:cs="Arial"/>
                <w:sz w:val="20"/>
                <w:szCs w:val="20"/>
              </w:rPr>
            </w:pPr>
            <w:r>
              <w:rPr>
                <w:rFonts w:ascii="Arial" w:eastAsia="Arial" w:hAnsi="Arial" w:cs="Arial"/>
                <w:sz w:val="20"/>
                <w:szCs w:val="20"/>
              </w:rPr>
              <w:t>Policy H4</w:t>
            </w:r>
          </w:p>
        </w:tc>
        <w:tc>
          <w:tcPr>
            <w:tcW w:w="3723" w:type="dxa"/>
          </w:tcPr>
          <w:p w14:paraId="0B4C6C32"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The Examiner discusses modification 13 on page 25, policy H4, in the 2</w:t>
            </w:r>
            <w:r>
              <w:rPr>
                <w:rFonts w:ascii="Arial" w:eastAsia="Arial" w:hAnsi="Arial" w:cs="Arial"/>
                <w:sz w:val="20"/>
                <w:szCs w:val="20"/>
                <w:vertAlign w:val="superscript"/>
              </w:rPr>
              <w:t>nd</w:t>
            </w:r>
            <w:r>
              <w:rPr>
                <w:rFonts w:ascii="Arial" w:eastAsia="Arial" w:hAnsi="Arial" w:cs="Arial"/>
                <w:sz w:val="20"/>
                <w:szCs w:val="20"/>
              </w:rPr>
              <w:t xml:space="preserve"> indent. </w:t>
            </w:r>
          </w:p>
        </w:tc>
        <w:tc>
          <w:tcPr>
            <w:tcW w:w="7475" w:type="dxa"/>
          </w:tcPr>
          <w:p w14:paraId="0DDF841F"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 xml:space="preserve">Add at the end, “or is physically well-related to an existing settlement and complies with the policies of this Plan </w:t>
            </w:r>
            <w:proofErr w:type="gramStart"/>
            <w:r>
              <w:rPr>
                <w:rFonts w:ascii="Arial" w:eastAsia="Arial" w:hAnsi="Arial" w:cs="Arial"/>
                <w:sz w:val="20"/>
                <w:szCs w:val="20"/>
              </w:rPr>
              <w:t>( other</w:t>
            </w:r>
            <w:proofErr w:type="gramEnd"/>
            <w:r>
              <w:rPr>
                <w:rFonts w:ascii="Arial" w:eastAsia="Arial" w:hAnsi="Arial" w:cs="Arial"/>
                <w:sz w:val="20"/>
                <w:szCs w:val="20"/>
              </w:rPr>
              <w:t xml:space="preserve"> than in respect of the settlement boundary)”.</w:t>
            </w:r>
          </w:p>
        </w:tc>
        <w:tc>
          <w:tcPr>
            <w:tcW w:w="5564" w:type="dxa"/>
          </w:tcPr>
          <w:p w14:paraId="3ED8BEA2"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HBBC agree, modification to be made because, consistent with the change to the supporting text, the second indent of Policy H4 was too restrictive. Adding reference to sites physically well-related to an existing settlement ensures the policy has regard to NPPF paragraphs 89 and 124(c) and does not unduly prevent sustainable development.</w:t>
            </w:r>
          </w:p>
          <w:p w14:paraId="52DC5774" w14:textId="77777777" w:rsidR="00724BEF" w:rsidRDefault="00724BEF" w:rsidP="00BC3A82">
            <w:pPr>
              <w:spacing w:before="120" w:after="120" w:line="276" w:lineRule="auto"/>
              <w:rPr>
                <w:rFonts w:ascii="Arial" w:eastAsia="Arial" w:hAnsi="Arial" w:cs="Arial"/>
                <w:sz w:val="20"/>
                <w:szCs w:val="20"/>
              </w:rPr>
            </w:pPr>
          </w:p>
        </w:tc>
      </w:tr>
      <w:tr w:rsidR="00F62774" w14:paraId="32F263EA" w14:textId="77777777" w:rsidTr="00724BEF">
        <w:tc>
          <w:tcPr>
            <w:tcW w:w="1734" w:type="dxa"/>
          </w:tcPr>
          <w:p w14:paraId="14CC7CA3"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14</w:t>
            </w:r>
          </w:p>
        </w:tc>
        <w:tc>
          <w:tcPr>
            <w:tcW w:w="1947" w:type="dxa"/>
          </w:tcPr>
          <w:p w14:paraId="03D6304B"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 xml:space="preserve">Policy H5 </w:t>
            </w:r>
          </w:p>
        </w:tc>
        <w:tc>
          <w:tcPr>
            <w:tcW w:w="3723" w:type="dxa"/>
          </w:tcPr>
          <w:p w14:paraId="4B074DC4"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 xml:space="preserve">The Examiner discusses modification 14 on page 25 in the third paragraph.  </w:t>
            </w:r>
          </w:p>
        </w:tc>
        <w:tc>
          <w:tcPr>
            <w:tcW w:w="7475" w:type="dxa"/>
          </w:tcPr>
          <w:p w14:paraId="723F2B98"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 xml:space="preserve">Remove the whole of this paragraph. </w:t>
            </w:r>
          </w:p>
        </w:tc>
        <w:tc>
          <w:tcPr>
            <w:tcW w:w="5564" w:type="dxa"/>
          </w:tcPr>
          <w:p w14:paraId="16B7DE6B"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HBBC agree, modification to be made because the paragraph concerns section 106 contributions generally rather than windfall development, is more likely to apply to larger schemes, and is unnecessary in a Neighbourhood Plan. Its removal provides clarity and avoids duplicating matters dealt with elsewhere.</w:t>
            </w:r>
          </w:p>
          <w:p w14:paraId="7C786CC9" w14:textId="77777777" w:rsidR="00724BEF" w:rsidRDefault="00724BEF" w:rsidP="00BC3A82">
            <w:pPr>
              <w:spacing w:before="120" w:after="120" w:line="276" w:lineRule="auto"/>
              <w:rPr>
                <w:rFonts w:ascii="Arial" w:eastAsia="Arial" w:hAnsi="Arial" w:cs="Arial"/>
                <w:sz w:val="20"/>
                <w:szCs w:val="20"/>
              </w:rPr>
            </w:pPr>
          </w:p>
        </w:tc>
      </w:tr>
      <w:tr w:rsidR="00F62774" w14:paraId="6E0695A2" w14:textId="77777777" w:rsidTr="00724BEF">
        <w:tc>
          <w:tcPr>
            <w:tcW w:w="1734" w:type="dxa"/>
          </w:tcPr>
          <w:p w14:paraId="17EFDC74"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15</w:t>
            </w:r>
          </w:p>
        </w:tc>
        <w:tc>
          <w:tcPr>
            <w:tcW w:w="1947" w:type="dxa"/>
          </w:tcPr>
          <w:p w14:paraId="67E91CD0"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 xml:space="preserve">Policy H5 </w:t>
            </w:r>
          </w:p>
        </w:tc>
        <w:tc>
          <w:tcPr>
            <w:tcW w:w="3723" w:type="dxa"/>
          </w:tcPr>
          <w:p w14:paraId="75034D1F"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The Examiner discusses modification 15 on page 26 in the 4</w:t>
            </w:r>
            <w:r>
              <w:rPr>
                <w:rFonts w:ascii="Arial" w:eastAsia="Arial" w:hAnsi="Arial" w:cs="Arial"/>
                <w:sz w:val="20"/>
                <w:szCs w:val="20"/>
                <w:vertAlign w:val="superscript"/>
              </w:rPr>
              <w:t>th</w:t>
            </w:r>
            <w:r>
              <w:rPr>
                <w:rFonts w:ascii="Arial" w:eastAsia="Arial" w:hAnsi="Arial" w:cs="Arial"/>
                <w:sz w:val="20"/>
                <w:szCs w:val="20"/>
              </w:rPr>
              <w:t xml:space="preserve"> indent of Policy H5. </w:t>
            </w:r>
          </w:p>
        </w:tc>
        <w:tc>
          <w:tcPr>
            <w:tcW w:w="7475" w:type="dxa"/>
          </w:tcPr>
          <w:p w14:paraId="1AB29E3E"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 xml:space="preserve">Delete this indent. </w:t>
            </w:r>
          </w:p>
        </w:tc>
        <w:tc>
          <w:tcPr>
            <w:tcW w:w="5564" w:type="dxa"/>
          </w:tcPr>
          <w:p w14:paraId="71620EBB"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HBBC agree, modification to be made because the parking standard in the indent was more demanding than the Leicestershire Highway Design Guide and HBBC SADMP policy DM18, which were prepared by those with relevant expertise and subject to consultation. Without robust justification for the departure, the indent should be deleted, leaving the matter to the local planning and highway authorities and ensuring the Plan has regard to national and local policy.</w:t>
            </w:r>
          </w:p>
          <w:p w14:paraId="516D6D4A" w14:textId="77777777" w:rsidR="00724BEF" w:rsidRDefault="00724BEF" w:rsidP="00BC3A82">
            <w:pPr>
              <w:spacing w:before="120" w:after="120" w:line="276" w:lineRule="auto"/>
              <w:rPr>
                <w:rFonts w:ascii="Arial" w:eastAsia="Arial" w:hAnsi="Arial" w:cs="Arial"/>
                <w:sz w:val="20"/>
                <w:szCs w:val="20"/>
              </w:rPr>
            </w:pPr>
          </w:p>
        </w:tc>
      </w:tr>
      <w:tr w:rsidR="00F62774" w14:paraId="2BFDFB3E" w14:textId="77777777" w:rsidTr="00724BEF">
        <w:tc>
          <w:tcPr>
            <w:tcW w:w="1734" w:type="dxa"/>
          </w:tcPr>
          <w:p w14:paraId="0DA75B52"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lastRenderedPageBreak/>
              <w:t xml:space="preserve">16 </w:t>
            </w:r>
          </w:p>
        </w:tc>
        <w:tc>
          <w:tcPr>
            <w:tcW w:w="1947" w:type="dxa"/>
          </w:tcPr>
          <w:p w14:paraId="686708D1" w14:textId="336AFB19" w:rsidR="00F62774" w:rsidRDefault="00724BEF" w:rsidP="00BC3A82">
            <w:pPr>
              <w:spacing w:before="120" w:after="120" w:line="276" w:lineRule="auto"/>
              <w:rPr>
                <w:rFonts w:ascii="Arial" w:eastAsia="Arial" w:hAnsi="Arial" w:cs="Arial"/>
                <w:sz w:val="20"/>
                <w:szCs w:val="20"/>
              </w:rPr>
            </w:pPr>
            <w:r w:rsidRPr="00724BEF">
              <w:rPr>
                <w:rFonts w:ascii="Arial" w:eastAsia="Arial" w:hAnsi="Arial" w:cs="Arial"/>
                <w:sz w:val="20"/>
                <w:szCs w:val="20"/>
              </w:rPr>
              <w:t>Page 26, policy H5</w:t>
            </w:r>
          </w:p>
        </w:tc>
        <w:tc>
          <w:tcPr>
            <w:tcW w:w="3723" w:type="dxa"/>
          </w:tcPr>
          <w:p w14:paraId="53CA2453"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The Examiner discusses modification 16 on page 26, in policy H5 in the 5</w:t>
            </w:r>
            <w:r>
              <w:rPr>
                <w:rFonts w:ascii="Arial" w:eastAsia="Arial" w:hAnsi="Arial" w:cs="Arial"/>
                <w:sz w:val="20"/>
                <w:szCs w:val="20"/>
                <w:vertAlign w:val="superscript"/>
              </w:rPr>
              <w:t>th</w:t>
            </w:r>
            <w:r>
              <w:rPr>
                <w:rFonts w:ascii="Arial" w:eastAsia="Arial" w:hAnsi="Arial" w:cs="Arial"/>
                <w:sz w:val="20"/>
                <w:szCs w:val="20"/>
              </w:rPr>
              <w:t xml:space="preserve"> indent. </w:t>
            </w:r>
          </w:p>
        </w:tc>
        <w:tc>
          <w:tcPr>
            <w:tcW w:w="7475" w:type="dxa"/>
          </w:tcPr>
          <w:p w14:paraId="0CE05B4C"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 xml:space="preserve">Delete “wooden fencing”. </w:t>
            </w:r>
          </w:p>
        </w:tc>
        <w:tc>
          <w:tcPr>
            <w:tcW w:w="5564" w:type="dxa"/>
          </w:tcPr>
          <w:p w14:paraId="0504F82B"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HBBC agree, modification to be made because referring to wooden fencing could prevent better boundary treatment being sought, given that inappropriate wooden fencing can detract from an area. Deleting the words provides clarity and avoids an unintended restriction.</w:t>
            </w:r>
          </w:p>
          <w:p w14:paraId="161B2F9B" w14:textId="77777777" w:rsidR="00724BEF" w:rsidRDefault="00724BEF" w:rsidP="00BC3A82">
            <w:pPr>
              <w:spacing w:before="120" w:after="120" w:line="276" w:lineRule="auto"/>
              <w:rPr>
                <w:rFonts w:ascii="Arial" w:eastAsia="Arial" w:hAnsi="Arial" w:cs="Arial"/>
                <w:sz w:val="20"/>
                <w:szCs w:val="20"/>
              </w:rPr>
            </w:pPr>
          </w:p>
        </w:tc>
      </w:tr>
      <w:tr w:rsidR="00F62774" w14:paraId="58B1E072" w14:textId="77777777" w:rsidTr="00724BEF">
        <w:tc>
          <w:tcPr>
            <w:tcW w:w="1734" w:type="dxa"/>
          </w:tcPr>
          <w:p w14:paraId="499C3A43"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17</w:t>
            </w:r>
          </w:p>
        </w:tc>
        <w:tc>
          <w:tcPr>
            <w:tcW w:w="1947" w:type="dxa"/>
          </w:tcPr>
          <w:p w14:paraId="0973F3C9" w14:textId="04BE103E" w:rsidR="00F62774" w:rsidRDefault="00724BEF" w:rsidP="00BC3A82">
            <w:pPr>
              <w:spacing w:before="120" w:after="120" w:line="276" w:lineRule="auto"/>
              <w:rPr>
                <w:rFonts w:ascii="Arial" w:eastAsia="Arial" w:hAnsi="Arial" w:cs="Arial"/>
                <w:sz w:val="20"/>
                <w:szCs w:val="20"/>
              </w:rPr>
            </w:pPr>
            <w:r w:rsidRPr="00724BEF">
              <w:rPr>
                <w:rFonts w:ascii="Arial" w:eastAsia="Arial" w:hAnsi="Arial" w:cs="Arial"/>
                <w:sz w:val="20"/>
                <w:szCs w:val="20"/>
              </w:rPr>
              <w:t>Page 35, upper plan and page 38 figure 9</w:t>
            </w:r>
          </w:p>
        </w:tc>
        <w:tc>
          <w:tcPr>
            <w:tcW w:w="3723" w:type="dxa"/>
          </w:tcPr>
          <w:p w14:paraId="405C1886"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 xml:space="preserve">The Examiner discusses modification 17 on page 35 in the upper plan and page 38 in figure 9. </w:t>
            </w:r>
          </w:p>
        </w:tc>
        <w:tc>
          <w:tcPr>
            <w:tcW w:w="7475" w:type="dxa"/>
          </w:tcPr>
          <w:p w14:paraId="2825907E"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Amend the area coloured green to exclude land within the red line on plan BAG_SL_001 on page 20 of the Boyer representation.</w:t>
            </w:r>
          </w:p>
        </w:tc>
        <w:tc>
          <w:tcPr>
            <w:tcW w:w="5564" w:type="dxa"/>
          </w:tcPr>
          <w:p w14:paraId="6DC0CB65"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 xml:space="preserve">HBBC agree, modification to be made because the Local Green Space designation should be consistent with the local planning of sustainable development and capable of enduring beyond the plan period (NPPF paragraph 105). Excluding the Site 1 land within the Boyer red line ensures the option of access from Almond Way is not foreclosed should that land be needed for </w:t>
            </w:r>
            <w:proofErr w:type="gramStart"/>
            <w:r>
              <w:rPr>
                <w:rFonts w:ascii="Arial" w:eastAsia="Arial" w:hAnsi="Arial" w:cs="Arial"/>
                <w:sz w:val="20"/>
                <w:szCs w:val="20"/>
              </w:rPr>
              <w:t>development, and</w:t>
            </w:r>
            <w:proofErr w:type="gramEnd"/>
            <w:r>
              <w:rPr>
                <w:rFonts w:ascii="Arial" w:eastAsia="Arial" w:hAnsi="Arial" w:cs="Arial"/>
                <w:sz w:val="20"/>
                <w:szCs w:val="20"/>
              </w:rPr>
              <w:t xml:space="preserve"> is necessary to avoid preventing sustainable development (basic condition (d)).</w:t>
            </w:r>
          </w:p>
          <w:p w14:paraId="4424F403" w14:textId="77777777" w:rsidR="00724BEF" w:rsidRDefault="00724BEF" w:rsidP="00BC3A82">
            <w:pPr>
              <w:spacing w:before="120" w:after="120" w:line="276" w:lineRule="auto"/>
              <w:rPr>
                <w:rFonts w:ascii="Arial" w:eastAsia="Arial" w:hAnsi="Arial" w:cs="Arial"/>
                <w:sz w:val="20"/>
                <w:szCs w:val="20"/>
                <w:highlight w:val="magenta"/>
              </w:rPr>
            </w:pPr>
          </w:p>
        </w:tc>
      </w:tr>
      <w:tr w:rsidR="00F62774" w14:paraId="76C8AD60" w14:textId="77777777" w:rsidTr="00724BEF">
        <w:tc>
          <w:tcPr>
            <w:tcW w:w="1734" w:type="dxa"/>
          </w:tcPr>
          <w:p w14:paraId="3AFC4896"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18</w:t>
            </w:r>
          </w:p>
        </w:tc>
        <w:tc>
          <w:tcPr>
            <w:tcW w:w="1947" w:type="dxa"/>
          </w:tcPr>
          <w:p w14:paraId="7B796DCB" w14:textId="084F1F74" w:rsidR="00F62774" w:rsidRDefault="00724BEF" w:rsidP="00BC3A82">
            <w:pPr>
              <w:spacing w:before="120" w:after="120" w:line="276" w:lineRule="auto"/>
              <w:rPr>
                <w:rFonts w:ascii="Arial" w:eastAsia="Arial" w:hAnsi="Arial" w:cs="Arial"/>
                <w:sz w:val="20"/>
                <w:szCs w:val="20"/>
              </w:rPr>
            </w:pPr>
            <w:r>
              <w:rPr>
                <w:rFonts w:ascii="Arial" w:eastAsia="Arial" w:hAnsi="Arial" w:cs="Arial"/>
                <w:sz w:val="20"/>
                <w:szCs w:val="20"/>
              </w:rPr>
              <w:t>Page 35</w:t>
            </w:r>
          </w:p>
        </w:tc>
        <w:tc>
          <w:tcPr>
            <w:tcW w:w="3723" w:type="dxa"/>
          </w:tcPr>
          <w:p w14:paraId="7C75F3A3"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 xml:space="preserve">The Examiner discusses modification 18 on page 35. </w:t>
            </w:r>
          </w:p>
        </w:tc>
        <w:tc>
          <w:tcPr>
            <w:tcW w:w="7475" w:type="dxa"/>
          </w:tcPr>
          <w:p w14:paraId="5410ADD3"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Amend the lower plan to exclude from LGS designation the Community Centre and Sports Hall.</w:t>
            </w:r>
          </w:p>
        </w:tc>
        <w:tc>
          <w:tcPr>
            <w:tcW w:w="5564" w:type="dxa"/>
          </w:tcPr>
          <w:p w14:paraId="1910BB99"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HBBC agree, modification to be made because Local Green Space designation applies to green areas of particular importance and not to substantial buildings with a non-open-space use. Excluding the Community Centre and Sports Hall from the LGS provides clarity and ensures the designation is applied consistently with NPPF paragraph 105.</w:t>
            </w:r>
          </w:p>
          <w:p w14:paraId="1EE94A00" w14:textId="77777777" w:rsidR="00724BEF" w:rsidRDefault="00724BEF" w:rsidP="00BC3A82">
            <w:pPr>
              <w:spacing w:before="120" w:after="120" w:line="276" w:lineRule="auto"/>
              <w:rPr>
                <w:rFonts w:ascii="Arial" w:eastAsia="Arial" w:hAnsi="Arial" w:cs="Arial"/>
                <w:sz w:val="20"/>
                <w:szCs w:val="20"/>
              </w:rPr>
            </w:pPr>
          </w:p>
        </w:tc>
      </w:tr>
      <w:tr w:rsidR="00F62774" w14:paraId="7E891D35" w14:textId="77777777" w:rsidTr="00724BEF">
        <w:tc>
          <w:tcPr>
            <w:tcW w:w="1734" w:type="dxa"/>
          </w:tcPr>
          <w:p w14:paraId="0BB031BE" w14:textId="77777777" w:rsidR="00F62774" w:rsidRDefault="00F62774" w:rsidP="00BC3A82">
            <w:pPr>
              <w:spacing w:before="120" w:after="120" w:line="276" w:lineRule="auto"/>
              <w:rPr>
                <w:rFonts w:ascii="Arial" w:eastAsia="Arial" w:hAnsi="Arial" w:cs="Arial"/>
                <w:sz w:val="20"/>
                <w:szCs w:val="20"/>
              </w:rPr>
            </w:pPr>
          </w:p>
        </w:tc>
        <w:tc>
          <w:tcPr>
            <w:tcW w:w="1947" w:type="dxa"/>
          </w:tcPr>
          <w:p w14:paraId="0170EEDD" w14:textId="715ACBAE" w:rsidR="00F62774" w:rsidRDefault="00724BEF" w:rsidP="00BC3A82">
            <w:pPr>
              <w:spacing w:before="120" w:after="120" w:line="276" w:lineRule="auto"/>
              <w:rPr>
                <w:rFonts w:ascii="Arial" w:eastAsia="Arial" w:hAnsi="Arial" w:cs="Arial"/>
                <w:sz w:val="20"/>
                <w:szCs w:val="20"/>
              </w:rPr>
            </w:pPr>
            <w:r>
              <w:rPr>
                <w:rFonts w:ascii="Arial" w:eastAsia="Arial" w:hAnsi="Arial" w:cs="Arial"/>
                <w:sz w:val="20"/>
                <w:szCs w:val="20"/>
              </w:rPr>
              <w:t>Page 26</w:t>
            </w:r>
          </w:p>
        </w:tc>
        <w:tc>
          <w:tcPr>
            <w:tcW w:w="3723" w:type="dxa"/>
          </w:tcPr>
          <w:p w14:paraId="64884789"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 xml:space="preserve">The Examiner discusses modification 18 on page 36. </w:t>
            </w:r>
          </w:p>
        </w:tc>
        <w:tc>
          <w:tcPr>
            <w:tcW w:w="7475" w:type="dxa"/>
          </w:tcPr>
          <w:p w14:paraId="5B2D35E6"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Amend the upper plan to exclude from LGS designation St Mary and All Saints’ Church and its car park.</w:t>
            </w:r>
          </w:p>
          <w:p w14:paraId="7079A9C5"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Amend the lower plan to exclude from LGS designation St Peter’s Church.</w:t>
            </w:r>
          </w:p>
        </w:tc>
        <w:tc>
          <w:tcPr>
            <w:tcW w:w="5564" w:type="dxa"/>
          </w:tcPr>
          <w:p w14:paraId="50A4E3C3"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 xml:space="preserve">HBBC agree, modification to be made because a parish church is a substantial building that is not ancillary to its </w:t>
            </w:r>
            <w:proofErr w:type="gramStart"/>
            <w:r>
              <w:rPr>
                <w:rFonts w:ascii="Arial" w:eastAsia="Arial" w:hAnsi="Arial" w:cs="Arial"/>
                <w:sz w:val="20"/>
                <w:szCs w:val="20"/>
              </w:rPr>
              <w:t>churchyard, and</w:t>
            </w:r>
            <w:proofErr w:type="gramEnd"/>
            <w:r>
              <w:rPr>
                <w:rFonts w:ascii="Arial" w:eastAsia="Arial" w:hAnsi="Arial" w:cs="Arial"/>
                <w:sz w:val="20"/>
                <w:szCs w:val="20"/>
              </w:rPr>
              <w:t xml:space="preserve"> is more appropriately addressed through heritage and community facilities policies than green space policy. Excluding St Mary and All Saints’ Church and its car park and St Peter’s Church from the LGS provides clarity and ensures the designation accords with NPPF paragraph 105.</w:t>
            </w:r>
          </w:p>
          <w:p w14:paraId="0672D604" w14:textId="77777777" w:rsidR="00724BEF" w:rsidRDefault="00724BEF" w:rsidP="00BC3A82">
            <w:pPr>
              <w:spacing w:before="120" w:after="120" w:line="276" w:lineRule="auto"/>
              <w:rPr>
                <w:rFonts w:ascii="Arial" w:eastAsia="Arial" w:hAnsi="Arial" w:cs="Arial"/>
                <w:sz w:val="20"/>
                <w:szCs w:val="20"/>
              </w:rPr>
            </w:pPr>
          </w:p>
        </w:tc>
      </w:tr>
      <w:tr w:rsidR="00F62774" w14:paraId="16119E1E" w14:textId="77777777" w:rsidTr="00724BEF">
        <w:tc>
          <w:tcPr>
            <w:tcW w:w="1734" w:type="dxa"/>
          </w:tcPr>
          <w:p w14:paraId="6D327E93" w14:textId="77777777" w:rsidR="00F62774" w:rsidRDefault="00F62774" w:rsidP="00BC3A82">
            <w:pPr>
              <w:spacing w:before="120" w:after="120" w:line="276" w:lineRule="auto"/>
              <w:rPr>
                <w:rFonts w:ascii="Arial" w:eastAsia="Arial" w:hAnsi="Arial" w:cs="Arial"/>
                <w:sz w:val="20"/>
                <w:szCs w:val="20"/>
              </w:rPr>
            </w:pPr>
          </w:p>
        </w:tc>
        <w:tc>
          <w:tcPr>
            <w:tcW w:w="1947" w:type="dxa"/>
          </w:tcPr>
          <w:p w14:paraId="452EC536" w14:textId="6009C613" w:rsidR="00F62774" w:rsidRDefault="00724BEF" w:rsidP="00BC3A82">
            <w:pPr>
              <w:spacing w:before="120" w:after="120" w:line="276" w:lineRule="auto"/>
              <w:rPr>
                <w:rFonts w:ascii="Arial" w:eastAsia="Arial" w:hAnsi="Arial" w:cs="Arial"/>
                <w:sz w:val="20"/>
                <w:szCs w:val="20"/>
              </w:rPr>
            </w:pPr>
            <w:r>
              <w:rPr>
                <w:rFonts w:ascii="Arial" w:eastAsia="Arial" w:hAnsi="Arial" w:cs="Arial"/>
                <w:sz w:val="20"/>
                <w:szCs w:val="20"/>
              </w:rPr>
              <w:t>Page 37</w:t>
            </w:r>
          </w:p>
        </w:tc>
        <w:tc>
          <w:tcPr>
            <w:tcW w:w="3723" w:type="dxa"/>
          </w:tcPr>
          <w:p w14:paraId="2E50938B"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The Examiner discusses modification 18 on page 37.</w:t>
            </w:r>
          </w:p>
        </w:tc>
        <w:tc>
          <w:tcPr>
            <w:tcW w:w="7475" w:type="dxa"/>
          </w:tcPr>
          <w:p w14:paraId="6438F6B0"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 xml:space="preserve">Amend figure 8 to exclude from LGS designation the Community Centre and Sport </w:t>
            </w:r>
            <w:proofErr w:type="spellStart"/>
            <w:proofErr w:type="gramStart"/>
            <w:r>
              <w:rPr>
                <w:rFonts w:ascii="Arial" w:eastAsia="Arial" w:hAnsi="Arial" w:cs="Arial"/>
                <w:sz w:val="20"/>
                <w:szCs w:val="20"/>
              </w:rPr>
              <w:t>Hall,and</w:t>
            </w:r>
            <w:proofErr w:type="spellEnd"/>
            <w:proofErr w:type="gramEnd"/>
            <w:r>
              <w:rPr>
                <w:rFonts w:ascii="Arial" w:eastAsia="Arial" w:hAnsi="Arial" w:cs="Arial"/>
                <w:sz w:val="20"/>
                <w:szCs w:val="20"/>
              </w:rPr>
              <w:t xml:space="preserve"> St Peter’s Church.</w:t>
            </w:r>
          </w:p>
        </w:tc>
        <w:tc>
          <w:tcPr>
            <w:tcW w:w="5564" w:type="dxa"/>
          </w:tcPr>
          <w:p w14:paraId="25A0E1EC"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HBBC agree, modification to be made because, for consistency with the other LGS plans, figure 8 should likewise exclude the Community Centre and Sports Hall and St Peter’s Church, which are buildings with a non-open-space use. This provides clarity and ensures the LGS designation is applied correctly.</w:t>
            </w:r>
          </w:p>
          <w:p w14:paraId="785CAACE" w14:textId="77777777" w:rsidR="00724BEF" w:rsidRDefault="00724BEF" w:rsidP="00BC3A82">
            <w:pPr>
              <w:spacing w:before="120" w:after="120" w:line="276" w:lineRule="auto"/>
              <w:rPr>
                <w:rFonts w:ascii="Arial" w:eastAsia="Arial" w:hAnsi="Arial" w:cs="Arial"/>
                <w:sz w:val="20"/>
                <w:szCs w:val="20"/>
              </w:rPr>
            </w:pPr>
          </w:p>
        </w:tc>
      </w:tr>
      <w:tr w:rsidR="00F62774" w14:paraId="086C9C34" w14:textId="77777777" w:rsidTr="00724BEF">
        <w:tc>
          <w:tcPr>
            <w:tcW w:w="1734" w:type="dxa"/>
          </w:tcPr>
          <w:p w14:paraId="3CEBB359" w14:textId="77777777" w:rsidR="00F62774" w:rsidRDefault="00F62774" w:rsidP="00BC3A82">
            <w:pPr>
              <w:spacing w:before="120" w:after="120" w:line="276" w:lineRule="auto"/>
              <w:rPr>
                <w:rFonts w:ascii="Arial" w:eastAsia="Arial" w:hAnsi="Arial" w:cs="Arial"/>
                <w:sz w:val="20"/>
                <w:szCs w:val="20"/>
              </w:rPr>
            </w:pPr>
          </w:p>
        </w:tc>
        <w:tc>
          <w:tcPr>
            <w:tcW w:w="1947" w:type="dxa"/>
          </w:tcPr>
          <w:p w14:paraId="394C3DFE" w14:textId="01C8D8E5" w:rsidR="00F62774" w:rsidRDefault="00724BEF" w:rsidP="00BC3A82">
            <w:pPr>
              <w:spacing w:before="120" w:after="120" w:line="276" w:lineRule="auto"/>
              <w:rPr>
                <w:rFonts w:ascii="Arial" w:eastAsia="Arial" w:hAnsi="Arial" w:cs="Arial"/>
                <w:sz w:val="20"/>
                <w:szCs w:val="20"/>
              </w:rPr>
            </w:pPr>
            <w:r>
              <w:rPr>
                <w:rFonts w:ascii="Arial" w:eastAsia="Arial" w:hAnsi="Arial" w:cs="Arial"/>
                <w:sz w:val="20"/>
                <w:szCs w:val="20"/>
              </w:rPr>
              <w:t>Page 38</w:t>
            </w:r>
          </w:p>
        </w:tc>
        <w:tc>
          <w:tcPr>
            <w:tcW w:w="3723" w:type="dxa"/>
          </w:tcPr>
          <w:p w14:paraId="3CF2F8E3"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 xml:space="preserve">The Examiner discusses modification 18 on page 38. </w:t>
            </w:r>
          </w:p>
        </w:tc>
        <w:tc>
          <w:tcPr>
            <w:tcW w:w="7475" w:type="dxa"/>
          </w:tcPr>
          <w:p w14:paraId="5042FE78"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Amend figure 10 plan to exclude from LGS designation St Mary and All Saints’ Church and its car park.</w:t>
            </w:r>
          </w:p>
        </w:tc>
        <w:tc>
          <w:tcPr>
            <w:tcW w:w="5564" w:type="dxa"/>
          </w:tcPr>
          <w:p w14:paraId="5310AAA7"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 xml:space="preserve">HBBC agree, modification to be made because figure 10 should also exclude St Mary and All Saints’ Church and its car park from the LGS designation, for consistency with the </w:t>
            </w:r>
            <w:r>
              <w:rPr>
                <w:rFonts w:ascii="Arial" w:eastAsia="Arial" w:hAnsi="Arial" w:cs="Arial"/>
                <w:sz w:val="20"/>
                <w:szCs w:val="20"/>
              </w:rPr>
              <w:lastRenderedPageBreak/>
              <w:t>other plans and with NPPF paragraph 105. This corrects the mapping and provides clarity.</w:t>
            </w:r>
          </w:p>
          <w:p w14:paraId="352931EA" w14:textId="77777777" w:rsidR="00724BEF" w:rsidRDefault="00724BEF" w:rsidP="00BC3A82">
            <w:pPr>
              <w:spacing w:before="120" w:after="120" w:line="276" w:lineRule="auto"/>
              <w:rPr>
                <w:rFonts w:ascii="Arial" w:eastAsia="Arial" w:hAnsi="Arial" w:cs="Arial"/>
                <w:sz w:val="20"/>
                <w:szCs w:val="20"/>
              </w:rPr>
            </w:pPr>
          </w:p>
        </w:tc>
      </w:tr>
      <w:tr w:rsidR="00F62774" w14:paraId="5AA55384" w14:textId="77777777" w:rsidTr="00724BEF">
        <w:tc>
          <w:tcPr>
            <w:tcW w:w="1734" w:type="dxa"/>
          </w:tcPr>
          <w:p w14:paraId="49B1213A"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lastRenderedPageBreak/>
              <w:t>19</w:t>
            </w:r>
          </w:p>
        </w:tc>
        <w:tc>
          <w:tcPr>
            <w:tcW w:w="1947" w:type="dxa"/>
          </w:tcPr>
          <w:p w14:paraId="2B54799A" w14:textId="13C08E02" w:rsidR="00F62774" w:rsidRDefault="00724BEF" w:rsidP="00BC3A82">
            <w:pPr>
              <w:spacing w:before="120" w:after="120" w:line="276" w:lineRule="auto"/>
              <w:rPr>
                <w:rFonts w:ascii="Arial" w:eastAsia="Arial" w:hAnsi="Arial" w:cs="Arial"/>
                <w:sz w:val="20"/>
                <w:szCs w:val="20"/>
              </w:rPr>
            </w:pPr>
            <w:r>
              <w:rPr>
                <w:rFonts w:ascii="Arial" w:eastAsia="Arial" w:hAnsi="Arial" w:cs="Arial"/>
                <w:sz w:val="20"/>
                <w:szCs w:val="20"/>
              </w:rPr>
              <w:t>Page 39</w:t>
            </w:r>
          </w:p>
        </w:tc>
        <w:tc>
          <w:tcPr>
            <w:tcW w:w="3723" w:type="dxa"/>
          </w:tcPr>
          <w:p w14:paraId="62C9C004"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The Examiner discusses modification 19 on page 39, in paragraph 5.3.1.</w:t>
            </w:r>
          </w:p>
        </w:tc>
        <w:tc>
          <w:tcPr>
            <w:tcW w:w="7475" w:type="dxa"/>
          </w:tcPr>
          <w:p w14:paraId="70D846B2"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Replace “It is in conformity with Section 14 of NPPF 2023 (paragraph 149) and Section 15 (paragraphs 170, 171, 174, 175 and 177) with “It is in conformity with Section 15 of NPPF 2023.”</w:t>
            </w:r>
          </w:p>
        </w:tc>
        <w:tc>
          <w:tcPr>
            <w:tcW w:w="5564" w:type="dxa"/>
          </w:tcPr>
          <w:p w14:paraId="7443F52E"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HBBC agree, modification to be made because the supporting text contained incorrect references drawn from an earlier version of the NPPF. Correcting these to refer to Section 15 of the NPPF removes a factual error and ensures the Plan has regard to current national policy.</w:t>
            </w:r>
          </w:p>
          <w:p w14:paraId="341D146C" w14:textId="77777777" w:rsidR="00724BEF" w:rsidRDefault="00724BEF" w:rsidP="00BC3A82">
            <w:pPr>
              <w:spacing w:before="120" w:after="120" w:line="276" w:lineRule="auto"/>
              <w:rPr>
                <w:rFonts w:ascii="Arial" w:eastAsia="Arial" w:hAnsi="Arial" w:cs="Arial"/>
                <w:sz w:val="20"/>
                <w:szCs w:val="20"/>
              </w:rPr>
            </w:pPr>
          </w:p>
        </w:tc>
      </w:tr>
      <w:tr w:rsidR="00F62774" w14:paraId="38FB602B" w14:textId="77777777" w:rsidTr="00724BEF">
        <w:tc>
          <w:tcPr>
            <w:tcW w:w="1734" w:type="dxa"/>
          </w:tcPr>
          <w:p w14:paraId="1381D875" w14:textId="77777777" w:rsidR="00F62774" w:rsidRDefault="00F62774" w:rsidP="00BC3A82">
            <w:pPr>
              <w:spacing w:before="120" w:after="120" w:line="276" w:lineRule="auto"/>
              <w:rPr>
                <w:rFonts w:ascii="Arial" w:eastAsia="Arial" w:hAnsi="Arial" w:cs="Arial"/>
                <w:sz w:val="20"/>
                <w:szCs w:val="20"/>
              </w:rPr>
            </w:pPr>
          </w:p>
        </w:tc>
        <w:tc>
          <w:tcPr>
            <w:tcW w:w="1947" w:type="dxa"/>
          </w:tcPr>
          <w:p w14:paraId="7759AA63"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Policy ENV2</w:t>
            </w:r>
          </w:p>
        </w:tc>
        <w:tc>
          <w:tcPr>
            <w:tcW w:w="3723" w:type="dxa"/>
          </w:tcPr>
          <w:p w14:paraId="45EA8669"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 xml:space="preserve">The Examiner discusses modification 19 on page 39 in Policy ENV2. </w:t>
            </w:r>
          </w:p>
        </w:tc>
        <w:tc>
          <w:tcPr>
            <w:tcW w:w="7475" w:type="dxa"/>
          </w:tcPr>
          <w:p w14:paraId="51333A18"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 xml:space="preserve">Replace the final sentence of this policy with, </w:t>
            </w:r>
            <w:proofErr w:type="gramStart"/>
            <w:r>
              <w:rPr>
                <w:rFonts w:ascii="Arial" w:eastAsia="Arial" w:hAnsi="Arial" w:cs="Arial"/>
                <w:sz w:val="20"/>
                <w:szCs w:val="20"/>
              </w:rPr>
              <w:t>“ When</w:t>
            </w:r>
            <w:proofErr w:type="gramEnd"/>
            <w:r>
              <w:rPr>
                <w:rFonts w:ascii="Arial" w:eastAsia="Arial" w:hAnsi="Arial" w:cs="Arial"/>
                <w:sz w:val="20"/>
                <w:szCs w:val="20"/>
              </w:rPr>
              <w:t xml:space="preserve"> determining planning applications, adverse impact on the species, habitats or features present must be given </w:t>
            </w:r>
            <w:proofErr w:type="gramStart"/>
            <w:r>
              <w:rPr>
                <w:rFonts w:ascii="Arial" w:eastAsia="Arial" w:hAnsi="Arial" w:cs="Arial"/>
                <w:sz w:val="20"/>
                <w:szCs w:val="20"/>
              </w:rPr>
              <w:t>an</w:t>
            </w:r>
            <w:proofErr w:type="gramEnd"/>
            <w:r>
              <w:rPr>
                <w:rFonts w:ascii="Arial" w:eastAsia="Arial" w:hAnsi="Arial" w:cs="Arial"/>
                <w:sz w:val="20"/>
                <w:szCs w:val="20"/>
              </w:rPr>
              <w:t xml:space="preserve"> significant weight when considering a proposed development that would have an adverse impact on them”. </w:t>
            </w:r>
          </w:p>
        </w:tc>
        <w:tc>
          <w:tcPr>
            <w:tcW w:w="5564" w:type="dxa"/>
          </w:tcPr>
          <w:p w14:paraId="214DE412"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HBBC agree, modification to be made because the original final sentence was too absolute and would not represent good planning, given that the significance of species, habitats or features and the benefits of development vary from case to case. The revised wording requiring significant weight to be given to adverse impacts provides a more balanced, NPPF-compliant approach.</w:t>
            </w:r>
          </w:p>
          <w:p w14:paraId="35487D4A" w14:textId="77777777" w:rsidR="00724BEF" w:rsidRDefault="00724BEF" w:rsidP="00BC3A82">
            <w:pPr>
              <w:spacing w:before="120" w:after="120" w:line="276" w:lineRule="auto"/>
              <w:rPr>
                <w:rFonts w:ascii="Arial" w:eastAsia="Arial" w:hAnsi="Arial" w:cs="Arial"/>
                <w:sz w:val="20"/>
                <w:szCs w:val="20"/>
              </w:rPr>
            </w:pPr>
          </w:p>
        </w:tc>
      </w:tr>
      <w:tr w:rsidR="00F62774" w14:paraId="575AA898" w14:textId="77777777" w:rsidTr="00724BEF">
        <w:tc>
          <w:tcPr>
            <w:tcW w:w="1734" w:type="dxa"/>
          </w:tcPr>
          <w:p w14:paraId="1EA514C2"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 xml:space="preserve">20 </w:t>
            </w:r>
          </w:p>
        </w:tc>
        <w:tc>
          <w:tcPr>
            <w:tcW w:w="1947" w:type="dxa"/>
          </w:tcPr>
          <w:p w14:paraId="3E1A26BA" w14:textId="2D2E5DCD" w:rsidR="00F62774" w:rsidRDefault="00724BEF" w:rsidP="00BC3A82">
            <w:pPr>
              <w:spacing w:before="120" w:after="120" w:line="276" w:lineRule="auto"/>
              <w:rPr>
                <w:rFonts w:ascii="Arial" w:eastAsia="Arial" w:hAnsi="Arial" w:cs="Arial"/>
                <w:sz w:val="20"/>
                <w:szCs w:val="20"/>
              </w:rPr>
            </w:pPr>
            <w:r>
              <w:rPr>
                <w:rFonts w:ascii="Arial" w:eastAsia="Arial" w:hAnsi="Arial" w:cs="Arial"/>
                <w:sz w:val="20"/>
                <w:szCs w:val="20"/>
              </w:rPr>
              <w:t>Page 40</w:t>
            </w:r>
          </w:p>
        </w:tc>
        <w:tc>
          <w:tcPr>
            <w:tcW w:w="3723" w:type="dxa"/>
          </w:tcPr>
          <w:p w14:paraId="0C4C75A8"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 xml:space="preserve">The Examiner discusses modification 20 in figure 11 on page 40. </w:t>
            </w:r>
          </w:p>
        </w:tc>
        <w:tc>
          <w:tcPr>
            <w:tcW w:w="7475" w:type="dxa"/>
          </w:tcPr>
          <w:p w14:paraId="6C4A5777"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Remove the colouring from parcels 490, 710 and 711 and from the unnumbered land coloured blue to the north of parcel 151.</w:t>
            </w:r>
          </w:p>
        </w:tc>
        <w:tc>
          <w:tcPr>
            <w:tcW w:w="5564" w:type="dxa"/>
          </w:tcPr>
          <w:p w14:paraId="7EB26130" w14:textId="07494F7A"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 xml:space="preserve">HBBC agree, modification to be made because Appendix 5 does not justify the identification of parcels 490, 710 and 711 or the unnumbered land north of parcel 151 as sites of local environmental significance, and the evidence indicates the woodland there is of </w:t>
            </w:r>
            <w:r w:rsidR="00724BEF">
              <w:rPr>
                <w:rFonts w:ascii="Arial" w:eastAsia="Arial" w:hAnsi="Arial" w:cs="Arial"/>
                <w:sz w:val="20"/>
                <w:szCs w:val="20"/>
              </w:rPr>
              <w:t>less</w:t>
            </w:r>
            <w:r>
              <w:rPr>
                <w:rFonts w:ascii="Arial" w:eastAsia="Arial" w:hAnsi="Arial" w:cs="Arial"/>
                <w:sz w:val="20"/>
                <w:szCs w:val="20"/>
              </w:rPr>
              <w:t xml:space="preserve"> value. Removing provides clarity.</w:t>
            </w:r>
          </w:p>
          <w:p w14:paraId="7B0A5B3A" w14:textId="77777777" w:rsidR="00724BEF" w:rsidRDefault="00724BEF" w:rsidP="00BC3A82">
            <w:pPr>
              <w:spacing w:before="120" w:after="120" w:line="276" w:lineRule="auto"/>
              <w:rPr>
                <w:rFonts w:ascii="Arial" w:eastAsia="Arial" w:hAnsi="Arial" w:cs="Arial"/>
                <w:sz w:val="20"/>
                <w:szCs w:val="20"/>
              </w:rPr>
            </w:pPr>
          </w:p>
        </w:tc>
      </w:tr>
      <w:tr w:rsidR="00F62774" w14:paraId="770FC12D" w14:textId="77777777" w:rsidTr="00724BEF">
        <w:tc>
          <w:tcPr>
            <w:tcW w:w="1734" w:type="dxa"/>
          </w:tcPr>
          <w:p w14:paraId="4C02B80B"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21</w:t>
            </w:r>
          </w:p>
        </w:tc>
        <w:tc>
          <w:tcPr>
            <w:tcW w:w="1947" w:type="dxa"/>
          </w:tcPr>
          <w:p w14:paraId="1F5B5C42" w14:textId="7CC6B584" w:rsidR="00F62774" w:rsidRDefault="00724BEF" w:rsidP="00BC3A82">
            <w:pPr>
              <w:spacing w:before="120" w:after="120" w:line="276" w:lineRule="auto"/>
              <w:rPr>
                <w:rFonts w:ascii="Arial" w:eastAsia="Arial" w:hAnsi="Arial" w:cs="Arial"/>
                <w:sz w:val="20"/>
                <w:szCs w:val="20"/>
              </w:rPr>
            </w:pPr>
            <w:r>
              <w:rPr>
                <w:rFonts w:ascii="Arial" w:eastAsia="Arial" w:hAnsi="Arial" w:cs="Arial"/>
                <w:sz w:val="20"/>
                <w:szCs w:val="20"/>
              </w:rPr>
              <w:t>Page 41</w:t>
            </w:r>
          </w:p>
        </w:tc>
        <w:tc>
          <w:tcPr>
            <w:tcW w:w="3723" w:type="dxa"/>
          </w:tcPr>
          <w:p w14:paraId="0EEF16CA"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 xml:space="preserve">The Examiner discusses modification 21 on page 41, paragraph 5.4.1. </w:t>
            </w:r>
          </w:p>
        </w:tc>
        <w:tc>
          <w:tcPr>
            <w:tcW w:w="7475" w:type="dxa"/>
          </w:tcPr>
          <w:p w14:paraId="0549E973"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 xml:space="preserve">Replace the first sentence </w:t>
            </w:r>
            <w:proofErr w:type="gramStart"/>
            <w:r>
              <w:rPr>
                <w:rFonts w:ascii="Arial" w:eastAsia="Arial" w:hAnsi="Arial" w:cs="Arial"/>
                <w:sz w:val="20"/>
                <w:szCs w:val="20"/>
              </w:rPr>
              <w:t>with ,</w:t>
            </w:r>
            <w:proofErr w:type="gramEnd"/>
            <w:r>
              <w:rPr>
                <w:rFonts w:ascii="Arial" w:eastAsia="Arial" w:hAnsi="Arial" w:cs="Arial"/>
                <w:sz w:val="20"/>
                <w:szCs w:val="20"/>
              </w:rPr>
              <w:t xml:space="preserve"> “Five buildings and structures in the Plan area have statutory protection through Listing at Grade I or II and there is also a Scheduled Monument.”</w:t>
            </w:r>
          </w:p>
        </w:tc>
        <w:tc>
          <w:tcPr>
            <w:tcW w:w="5564" w:type="dxa"/>
          </w:tcPr>
          <w:p w14:paraId="56A7C441"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HBBC agree, modification to be made because the first sentence was factually inaccurate; the Scheduled Monument is in addition to the five listed buildings. The revised wording corrects this error and accurately describes the designated heritage assets in the Plan area.</w:t>
            </w:r>
          </w:p>
          <w:p w14:paraId="7F155006" w14:textId="77777777" w:rsidR="00724BEF" w:rsidRDefault="00724BEF" w:rsidP="00BC3A82">
            <w:pPr>
              <w:spacing w:before="120" w:after="120" w:line="276" w:lineRule="auto"/>
              <w:rPr>
                <w:rFonts w:ascii="Arial" w:eastAsia="Arial" w:hAnsi="Arial" w:cs="Arial"/>
                <w:sz w:val="20"/>
                <w:szCs w:val="20"/>
              </w:rPr>
            </w:pPr>
          </w:p>
          <w:p w14:paraId="7F8D9EBD" w14:textId="77777777" w:rsidR="00E9526A" w:rsidRDefault="00E9526A" w:rsidP="00BC3A82">
            <w:pPr>
              <w:spacing w:before="120" w:after="120" w:line="276" w:lineRule="auto"/>
              <w:rPr>
                <w:rFonts w:ascii="Arial" w:eastAsia="Arial" w:hAnsi="Arial" w:cs="Arial"/>
                <w:sz w:val="20"/>
                <w:szCs w:val="20"/>
              </w:rPr>
            </w:pPr>
          </w:p>
        </w:tc>
      </w:tr>
      <w:tr w:rsidR="00F62774" w14:paraId="0B5D07CF" w14:textId="77777777" w:rsidTr="00724BEF">
        <w:tc>
          <w:tcPr>
            <w:tcW w:w="1734" w:type="dxa"/>
          </w:tcPr>
          <w:p w14:paraId="3272D9C1"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22</w:t>
            </w:r>
          </w:p>
        </w:tc>
        <w:tc>
          <w:tcPr>
            <w:tcW w:w="1947" w:type="dxa"/>
          </w:tcPr>
          <w:p w14:paraId="7B188512" w14:textId="5A95F13B" w:rsidR="00F62774" w:rsidRDefault="00724BEF" w:rsidP="00BC3A82">
            <w:pPr>
              <w:spacing w:before="120" w:after="120" w:line="276" w:lineRule="auto"/>
              <w:rPr>
                <w:rFonts w:ascii="Arial" w:eastAsia="Arial" w:hAnsi="Arial" w:cs="Arial"/>
                <w:sz w:val="20"/>
                <w:szCs w:val="20"/>
              </w:rPr>
            </w:pPr>
            <w:r>
              <w:rPr>
                <w:rFonts w:ascii="Arial" w:eastAsia="Arial" w:hAnsi="Arial" w:cs="Arial"/>
                <w:sz w:val="20"/>
                <w:szCs w:val="20"/>
              </w:rPr>
              <w:t>Page 42</w:t>
            </w:r>
          </w:p>
        </w:tc>
        <w:tc>
          <w:tcPr>
            <w:tcW w:w="3723" w:type="dxa"/>
          </w:tcPr>
          <w:p w14:paraId="76B5FA13"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 xml:space="preserve">The Examiner discusses modification 22 on page 42. </w:t>
            </w:r>
          </w:p>
        </w:tc>
        <w:tc>
          <w:tcPr>
            <w:tcW w:w="7475" w:type="dxa"/>
          </w:tcPr>
          <w:p w14:paraId="3E479287"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Replace “Corner Cottage and attached walls and buildings” with “Corner Cottage and attached wall and railings”.</w:t>
            </w:r>
          </w:p>
        </w:tc>
        <w:tc>
          <w:tcPr>
            <w:tcW w:w="5564" w:type="dxa"/>
          </w:tcPr>
          <w:p w14:paraId="3442D1E6"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HBBC agree, modification to be made because the entry did not match the wording of the statutory list. Replacing it with “Corner Cottage and attached wall and railings” corrects a factual error and ensures consistency with the listing.</w:t>
            </w:r>
          </w:p>
          <w:p w14:paraId="5ACD26F9" w14:textId="77777777" w:rsidR="00E9526A" w:rsidRDefault="00E9526A" w:rsidP="00BC3A82">
            <w:pPr>
              <w:spacing w:before="120" w:after="120" w:line="276" w:lineRule="auto"/>
              <w:rPr>
                <w:rFonts w:ascii="Arial" w:eastAsia="Arial" w:hAnsi="Arial" w:cs="Arial"/>
                <w:sz w:val="20"/>
                <w:szCs w:val="20"/>
              </w:rPr>
            </w:pPr>
          </w:p>
        </w:tc>
      </w:tr>
      <w:tr w:rsidR="00F62774" w14:paraId="66E867B7" w14:textId="77777777" w:rsidTr="00724BEF">
        <w:tc>
          <w:tcPr>
            <w:tcW w:w="1734" w:type="dxa"/>
          </w:tcPr>
          <w:p w14:paraId="0B015284"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23</w:t>
            </w:r>
          </w:p>
        </w:tc>
        <w:tc>
          <w:tcPr>
            <w:tcW w:w="1947" w:type="dxa"/>
          </w:tcPr>
          <w:p w14:paraId="4CC73BEA" w14:textId="73F3B9EF" w:rsidR="00F62774" w:rsidRDefault="00724BEF" w:rsidP="00BC3A82">
            <w:pPr>
              <w:spacing w:before="120" w:after="120" w:line="276" w:lineRule="auto"/>
              <w:rPr>
                <w:rFonts w:ascii="Arial" w:eastAsia="Arial" w:hAnsi="Arial" w:cs="Arial"/>
                <w:sz w:val="20"/>
                <w:szCs w:val="20"/>
              </w:rPr>
            </w:pPr>
            <w:r>
              <w:rPr>
                <w:rFonts w:ascii="Arial" w:eastAsia="Arial" w:hAnsi="Arial" w:cs="Arial"/>
                <w:sz w:val="20"/>
                <w:szCs w:val="20"/>
              </w:rPr>
              <w:t>Page 44</w:t>
            </w:r>
          </w:p>
        </w:tc>
        <w:tc>
          <w:tcPr>
            <w:tcW w:w="3723" w:type="dxa"/>
          </w:tcPr>
          <w:p w14:paraId="12524F0F"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 xml:space="preserve">The Examiner discusses modification 23 on page 44, paragraph 5.4.2., supporting text. </w:t>
            </w:r>
          </w:p>
        </w:tc>
        <w:tc>
          <w:tcPr>
            <w:tcW w:w="7475" w:type="dxa"/>
          </w:tcPr>
          <w:p w14:paraId="7AAFBE20"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Replace all from “Eight” to “paragraph 194” with: “Five others are judged to be of local significance for architectural or historical or social reasons and are identified as non-designated heritage assets.”</w:t>
            </w:r>
          </w:p>
        </w:tc>
        <w:tc>
          <w:tcPr>
            <w:tcW w:w="5564" w:type="dxa"/>
          </w:tcPr>
          <w:p w14:paraId="4D157A5D"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HBBC agree, modification to be made because the supporting text incorrectly treated a listed building as a local heritage asset and referred to an out-of-date NPPF paragraph. The revised wording correctly identifies five non-designated heritage assets, correcting the error and providing clarity.</w:t>
            </w:r>
          </w:p>
          <w:p w14:paraId="431DBCFF" w14:textId="77777777" w:rsidR="00E9526A" w:rsidRDefault="00E9526A" w:rsidP="00BC3A82">
            <w:pPr>
              <w:spacing w:before="120" w:after="120" w:line="276" w:lineRule="auto"/>
              <w:rPr>
                <w:rFonts w:ascii="Arial" w:eastAsia="Arial" w:hAnsi="Arial" w:cs="Arial"/>
                <w:sz w:val="20"/>
                <w:szCs w:val="20"/>
              </w:rPr>
            </w:pPr>
          </w:p>
        </w:tc>
      </w:tr>
      <w:tr w:rsidR="00F62774" w14:paraId="687E1787" w14:textId="77777777" w:rsidTr="00724BEF">
        <w:tc>
          <w:tcPr>
            <w:tcW w:w="1734" w:type="dxa"/>
          </w:tcPr>
          <w:p w14:paraId="7CDFB297" w14:textId="77777777" w:rsidR="00F62774" w:rsidRDefault="00F62774" w:rsidP="00BC3A82">
            <w:pPr>
              <w:spacing w:before="120" w:after="120" w:line="276" w:lineRule="auto"/>
              <w:rPr>
                <w:rFonts w:ascii="Arial" w:eastAsia="Arial" w:hAnsi="Arial" w:cs="Arial"/>
                <w:sz w:val="20"/>
                <w:szCs w:val="20"/>
              </w:rPr>
            </w:pPr>
          </w:p>
        </w:tc>
        <w:tc>
          <w:tcPr>
            <w:tcW w:w="1947" w:type="dxa"/>
          </w:tcPr>
          <w:p w14:paraId="2CD34644" w14:textId="32CEE966" w:rsidR="00F62774" w:rsidRDefault="00724BEF" w:rsidP="00BC3A82">
            <w:pPr>
              <w:spacing w:before="120" w:after="120" w:line="276" w:lineRule="auto"/>
              <w:rPr>
                <w:rFonts w:ascii="Arial" w:eastAsia="Arial" w:hAnsi="Arial" w:cs="Arial"/>
                <w:sz w:val="20"/>
                <w:szCs w:val="20"/>
              </w:rPr>
            </w:pPr>
            <w:r>
              <w:rPr>
                <w:rFonts w:ascii="Arial" w:eastAsia="Arial" w:hAnsi="Arial" w:cs="Arial"/>
                <w:sz w:val="20"/>
                <w:szCs w:val="20"/>
              </w:rPr>
              <w:t>Page 44, Policy ENV4</w:t>
            </w:r>
          </w:p>
        </w:tc>
        <w:tc>
          <w:tcPr>
            <w:tcW w:w="3723" w:type="dxa"/>
          </w:tcPr>
          <w:p w14:paraId="403B5879"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 xml:space="preserve">The Examiner discusses modification 23 in Policy ENV4, on page 44. </w:t>
            </w:r>
          </w:p>
        </w:tc>
        <w:tc>
          <w:tcPr>
            <w:tcW w:w="7475" w:type="dxa"/>
          </w:tcPr>
          <w:p w14:paraId="3FBDF585"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Delete “War Memorial, Holy Rood church (MLE 20706; now Listed grade II. War memorial WMP0042)”.</w:t>
            </w:r>
          </w:p>
        </w:tc>
        <w:tc>
          <w:tcPr>
            <w:tcW w:w="5564" w:type="dxa"/>
          </w:tcPr>
          <w:p w14:paraId="54937293"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HBBC agree, modification to be made because Bagworth War Memorial is a listed building of national importance and should not be identified as a local (non-designated) heritage asset. Deleting the reference corrects the error and ensures the policy is internally consistent and accords with national heritage policy.</w:t>
            </w:r>
          </w:p>
          <w:p w14:paraId="7580C7CE" w14:textId="77777777" w:rsidR="00E9526A" w:rsidRDefault="00E9526A" w:rsidP="00BC3A82">
            <w:pPr>
              <w:spacing w:before="120" w:after="120" w:line="276" w:lineRule="auto"/>
              <w:rPr>
                <w:rFonts w:ascii="Arial" w:eastAsia="Arial" w:hAnsi="Arial" w:cs="Arial"/>
                <w:sz w:val="20"/>
                <w:szCs w:val="20"/>
              </w:rPr>
            </w:pPr>
          </w:p>
        </w:tc>
      </w:tr>
      <w:tr w:rsidR="00F62774" w14:paraId="0E22F539" w14:textId="77777777" w:rsidTr="00724BEF">
        <w:tc>
          <w:tcPr>
            <w:tcW w:w="1734" w:type="dxa"/>
          </w:tcPr>
          <w:p w14:paraId="4859933F" w14:textId="77777777" w:rsidR="00F62774" w:rsidRDefault="00F62774" w:rsidP="00BC3A82">
            <w:pPr>
              <w:spacing w:before="120" w:after="120" w:line="276" w:lineRule="auto"/>
              <w:rPr>
                <w:rFonts w:ascii="Arial" w:eastAsia="Arial" w:hAnsi="Arial" w:cs="Arial"/>
                <w:sz w:val="20"/>
                <w:szCs w:val="20"/>
              </w:rPr>
            </w:pPr>
          </w:p>
        </w:tc>
        <w:tc>
          <w:tcPr>
            <w:tcW w:w="1947" w:type="dxa"/>
          </w:tcPr>
          <w:p w14:paraId="2F72C5BC" w14:textId="191DF3E5" w:rsidR="00F62774" w:rsidRDefault="00724BEF" w:rsidP="00BC3A82">
            <w:pPr>
              <w:spacing w:before="120" w:after="120" w:line="276" w:lineRule="auto"/>
              <w:rPr>
                <w:rFonts w:ascii="Arial" w:eastAsia="Arial" w:hAnsi="Arial" w:cs="Arial"/>
                <w:sz w:val="20"/>
                <w:szCs w:val="20"/>
              </w:rPr>
            </w:pPr>
            <w:r>
              <w:rPr>
                <w:rFonts w:ascii="Arial" w:eastAsia="Arial" w:hAnsi="Arial" w:cs="Arial"/>
                <w:sz w:val="20"/>
                <w:szCs w:val="20"/>
              </w:rPr>
              <w:t>Page 44</w:t>
            </w:r>
          </w:p>
        </w:tc>
        <w:tc>
          <w:tcPr>
            <w:tcW w:w="3723" w:type="dxa"/>
          </w:tcPr>
          <w:p w14:paraId="61187BB6"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 xml:space="preserve">The Examiner discusses modification 23, on page 44, figure 14. </w:t>
            </w:r>
          </w:p>
        </w:tc>
        <w:tc>
          <w:tcPr>
            <w:tcW w:w="7475" w:type="dxa"/>
          </w:tcPr>
          <w:p w14:paraId="034EDAB9"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Remove the annotation in respect of MLE 20706.</w:t>
            </w:r>
          </w:p>
          <w:p w14:paraId="0329AA60"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Remove the two annotations that do not relate to the text, namely MLE 23211 and MLE 20737.</w:t>
            </w:r>
          </w:p>
        </w:tc>
        <w:tc>
          <w:tcPr>
            <w:tcW w:w="5564" w:type="dxa"/>
          </w:tcPr>
          <w:p w14:paraId="62D82D8D"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HBBC agree, modification to be made because figure 14 contained an annotation for a now-listed building and two further annotations (MLE 23211 and MLE 20737) that do not relate to the text. Removing them corrects mapping errors and provides clarity and consistency with the supporting text.</w:t>
            </w:r>
          </w:p>
          <w:p w14:paraId="7079DD12" w14:textId="77777777" w:rsidR="00724BEF" w:rsidRDefault="00724BEF" w:rsidP="00BC3A82">
            <w:pPr>
              <w:spacing w:before="120" w:after="120" w:line="276" w:lineRule="auto"/>
              <w:rPr>
                <w:rFonts w:ascii="Arial" w:eastAsia="Arial" w:hAnsi="Arial" w:cs="Arial"/>
                <w:sz w:val="20"/>
                <w:szCs w:val="20"/>
              </w:rPr>
            </w:pPr>
          </w:p>
        </w:tc>
      </w:tr>
      <w:tr w:rsidR="00F62774" w14:paraId="68D101E4" w14:textId="77777777" w:rsidTr="00724BEF">
        <w:tc>
          <w:tcPr>
            <w:tcW w:w="1734" w:type="dxa"/>
          </w:tcPr>
          <w:p w14:paraId="6E263717"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24</w:t>
            </w:r>
          </w:p>
        </w:tc>
        <w:tc>
          <w:tcPr>
            <w:tcW w:w="1947" w:type="dxa"/>
          </w:tcPr>
          <w:p w14:paraId="4B1C4DB7" w14:textId="093ACD22" w:rsidR="00F62774" w:rsidRDefault="00724BEF" w:rsidP="00BC3A82">
            <w:pPr>
              <w:spacing w:before="120" w:after="120" w:line="276" w:lineRule="auto"/>
              <w:rPr>
                <w:rFonts w:ascii="Arial" w:eastAsia="Arial" w:hAnsi="Arial" w:cs="Arial"/>
                <w:sz w:val="20"/>
                <w:szCs w:val="20"/>
              </w:rPr>
            </w:pPr>
            <w:r>
              <w:rPr>
                <w:rFonts w:ascii="Arial" w:eastAsia="Arial" w:hAnsi="Arial" w:cs="Arial"/>
                <w:sz w:val="20"/>
                <w:szCs w:val="20"/>
              </w:rPr>
              <w:t xml:space="preserve">Page 46, Policy ENV5 </w:t>
            </w:r>
          </w:p>
        </w:tc>
        <w:tc>
          <w:tcPr>
            <w:tcW w:w="3723" w:type="dxa"/>
          </w:tcPr>
          <w:p w14:paraId="17DE2FBD"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 xml:space="preserve">The Examiner discusses modification 24 in Policy ENV5 on page 46. </w:t>
            </w:r>
          </w:p>
        </w:tc>
        <w:tc>
          <w:tcPr>
            <w:tcW w:w="7475" w:type="dxa"/>
          </w:tcPr>
          <w:p w14:paraId="41DA195C"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 xml:space="preserve">Replace “Development proposals that would have a detrimental impact on the earthworks, buried archaeology or features present will not be supported unless the need for and benefits arising from development in that location clearly outweigh the loss.” </w:t>
            </w:r>
          </w:p>
          <w:p w14:paraId="670BC4FF"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with “In considering development proposals that would have a detrimental impact on the earthworks, buried archaeology or features present, the significance both of their intrinsic features and of their settings should be balanced against the value of those proposals.”</w:t>
            </w:r>
          </w:p>
        </w:tc>
        <w:tc>
          <w:tcPr>
            <w:tcW w:w="5564" w:type="dxa"/>
          </w:tcPr>
          <w:p w14:paraId="0AF5AD43"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HBBC agree, modification to be made because the original wording did not provide for the balanced assessment of significance against the benefits of a proposal required by Section 16 of the NPPF and SADMP policies DM11 and DM12. The revised wording adopts the NPPF approach, providing clarity and ensuring the Plan has regard to national policy.</w:t>
            </w:r>
          </w:p>
          <w:p w14:paraId="49915E07" w14:textId="77777777" w:rsidR="00724BEF" w:rsidRDefault="00724BEF" w:rsidP="00BC3A82">
            <w:pPr>
              <w:spacing w:before="120" w:after="120" w:line="276" w:lineRule="auto"/>
              <w:rPr>
                <w:rFonts w:ascii="Arial" w:eastAsia="Arial" w:hAnsi="Arial" w:cs="Arial"/>
                <w:sz w:val="20"/>
                <w:szCs w:val="20"/>
              </w:rPr>
            </w:pPr>
          </w:p>
        </w:tc>
      </w:tr>
      <w:tr w:rsidR="00F62774" w14:paraId="79DDC830" w14:textId="77777777" w:rsidTr="00724BEF">
        <w:tc>
          <w:tcPr>
            <w:tcW w:w="1734" w:type="dxa"/>
          </w:tcPr>
          <w:p w14:paraId="35426F61"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25</w:t>
            </w:r>
          </w:p>
        </w:tc>
        <w:tc>
          <w:tcPr>
            <w:tcW w:w="1947" w:type="dxa"/>
          </w:tcPr>
          <w:p w14:paraId="50B7B720" w14:textId="2C73DF98" w:rsidR="00F62774" w:rsidRDefault="00724BEF" w:rsidP="00BC3A82">
            <w:pPr>
              <w:spacing w:before="120" w:after="120" w:line="276" w:lineRule="auto"/>
              <w:rPr>
                <w:rFonts w:ascii="Arial" w:eastAsia="Arial" w:hAnsi="Arial" w:cs="Arial"/>
                <w:sz w:val="20"/>
                <w:szCs w:val="20"/>
              </w:rPr>
            </w:pPr>
            <w:r>
              <w:rPr>
                <w:rFonts w:ascii="Arial" w:eastAsia="Arial" w:hAnsi="Arial" w:cs="Arial"/>
                <w:sz w:val="20"/>
                <w:szCs w:val="20"/>
              </w:rPr>
              <w:t xml:space="preserve">Page 48, Policy ENV6 </w:t>
            </w:r>
          </w:p>
        </w:tc>
        <w:tc>
          <w:tcPr>
            <w:tcW w:w="3723" w:type="dxa"/>
          </w:tcPr>
          <w:p w14:paraId="32F92D21"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 xml:space="preserve">The Examiner discusses modification 25 in Policy ENV6 on page 48. </w:t>
            </w:r>
          </w:p>
        </w:tc>
        <w:tc>
          <w:tcPr>
            <w:tcW w:w="7475" w:type="dxa"/>
          </w:tcPr>
          <w:p w14:paraId="1C45110C"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Replace the second sentence with, “The significance of ridge and furrow features as heritage assets must be borne in mind when considering a proposed development that would cause destruction or damage to them.”</w:t>
            </w:r>
          </w:p>
        </w:tc>
        <w:tc>
          <w:tcPr>
            <w:tcW w:w="5564" w:type="dxa"/>
          </w:tcPr>
          <w:p w14:paraId="2703F380"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HBBC agree, modification to be made because the existing wording was internally contradictory and, given the absence of express national policy protection for ridge and furrow, the first part was too absolute. The revised wording requires significance to be borne in mind when assessing harm, providing a balanced and clearer approach.</w:t>
            </w:r>
          </w:p>
          <w:p w14:paraId="20ABCCD5" w14:textId="77777777" w:rsidR="00724BEF" w:rsidRDefault="00724BEF" w:rsidP="00BC3A82">
            <w:pPr>
              <w:spacing w:before="120" w:after="120" w:line="276" w:lineRule="auto"/>
              <w:rPr>
                <w:rFonts w:ascii="Arial" w:eastAsia="Arial" w:hAnsi="Arial" w:cs="Arial"/>
                <w:sz w:val="20"/>
                <w:szCs w:val="20"/>
              </w:rPr>
            </w:pPr>
          </w:p>
        </w:tc>
      </w:tr>
      <w:tr w:rsidR="00F62774" w14:paraId="6680EA20" w14:textId="77777777" w:rsidTr="00724BEF">
        <w:tc>
          <w:tcPr>
            <w:tcW w:w="1734" w:type="dxa"/>
          </w:tcPr>
          <w:p w14:paraId="4C55DE36"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26</w:t>
            </w:r>
          </w:p>
        </w:tc>
        <w:tc>
          <w:tcPr>
            <w:tcW w:w="1947" w:type="dxa"/>
          </w:tcPr>
          <w:p w14:paraId="153A925D" w14:textId="50E0F1D2" w:rsidR="00F62774" w:rsidRDefault="00724BEF" w:rsidP="00BC3A82">
            <w:pPr>
              <w:spacing w:before="120" w:after="120" w:line="276" w:lineRule="auto"/>
              <w:rPr>
                <w:rFonts w:ascii="Arial" w:eastAsia="Arial" w:hAnsi="Arial" w:cs="Arial"/>
                <w:sz w:val="20"/>
                <w:szCs w:val="20"/>
              </w:rPr>
            </w:pPr>
            <w:r>
              <w:rPr>
                <w:rFonts w:ascii="Arial" w:eastAsia="Arial" w:hAnsi="Arial" w:cs="Arial"/>
                <w:sz w:val="20"/>
                <w:szCs w:val="20"/>
              </w:rPr>
              <w:t>Pahe 71</w:t>
            </w:r>
          </w:p>
        </w:tc>
        <w:tc>
          <w:tcPr>
            <w:tcW w:w="3723" w:type="dxa"/>
          </w:tcPr>
          <w:p w14:paraId="030DBDF9"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 xml:space="preserve">The Examiner discusses modification 26 on page 71, The Fuchsia Centre (Thornton Nurseries). </w:t>
            </w:r>
          </w:p>
        </w:tc>
        <w:tc>
          <w:tcPr>
            <w:tcW w:w="7475" w:type="dxa"/>
          </w:tcPr>
          <w:p w14:paraId="413DB82C"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Delete everything on this page that relates to the Fuchsia Centre.</w:t>
            </w:r>
          </w:p>
        </w:tc>
        <w:tc>
          <w:tcPr>
            <w:tcW w:w="5564" w:type="dxa"/>
          </w:tcPr>
          <w:p w14:paraId="3D278C49"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HBBC agree, modification to be made because identifying the Fuchsia Centre (Thornton Nurseries) as a community facility protected by Policy CA1 conflicts with its reasonable identification as a housing site that ranked second in the site-selection process. Removing the conflicting text avoids impeding the delivery of needed housing and is necessary to avoid preventing the Plan from contributing to sustainable development (basic condition (d)).</w:t>
            </w:r>
          </w:p>
          <w:p w14:paraId="77CF4B19" w14:textId="77777777" w:rsidR="00724BEF" w:rsidRDefault="00724BEF" w:rsidP="00BC3A82">
            <w:pPr>
              <w:spacing w:before="120" w:after="120" w:line="276" w:lineRule="auto"/>
              <w:rPr>
                <w:rFonts w:ascii="Arial" w:eastAsia="Arial" w:hAnsi="Arial" w:cs="Arial"/>
                <w:sz w:val="20"/>
                <w:szCs w:val="20"/>
              </w:rPr>
            </w:pPr>
          </w:p>
        </w:tc>
      </w:tr>
      <w:tr w:rsidR="00F62774" w14:paraId="078B6A0C" w14:textId="77777777" w:rsidTr="00724BEF">
        <w:tc>
          <w:tcPr>
            <w:tcW w:w="1734" w:type="dxa"/>
          </w:tcPr>
          <w:p w14:paraId="7AA2CB20"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27</w:t>
            </w:r>
          </w:p>
        </w:tc>
        <w:tc>
          <w:tcPr>
            <w:tcW w:w="1947" w:type="dxa"/>
          </w:tcPr>
          <w:p w14:paraId="52579458" w14:textId="0465B49F" w:rsidR="00F62774" w:rsidRDefault="00724BEF" w:rsidP="00BC3A82">
            <w:pPr>
              <w:spacing w:before="120" w:after="120" w:line="276" w:lineRule="auto"/>
              <w:rPr>
                <w:rFonts w:ascii="Arial" w:eastAsia="Arial" w:hAnsi="Arial" w:cs="Arial"/>
                <w:sz w:val="20"/>
                <w:szCs w:val="20"/>
              </w:rPr>
            </w:pPr>
            <w:r>
              <w:rPr>
                <w:rFonts w:ascii="Arial" w:eastAsia="Arial" w:hAnsi="Arial" w:cs="Arial"/>
                <w:sz w:val="20"/>
                <w:szCs w:val="20"/>
              </w:rPr>
              <w:t xml:space="preserve">Page 73, Policy CA1 </w:t>
            </w:r>
          </w:p>
        </w:tc>
        <w:tc>
          <w:tcPr>
            <w:tcW w:w="3723" w:type="dxa"/>
          </w:tcPr>
          <w:p w14:paraId="04E2C86B"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 xml:space="preserve">The Examiner discusses modification 27 in Policy CA1 on Page 73. </w:t>
            </w:r>
          </w:p>
        </w:tc>
        <w:tc>
          <w:tcPr>
            <w:tcW w:w="7475" w:type="dxa"/>
          </w:tcPr>
          <w:p w14:paraId="0B2F5930"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Replace “</w:t>
            </w:r>
            <w:proofErr w:type="spellStart"/>
            <w:r>
              <w:rPr>
                <w:rFonts w:ascii="Arial" w:eastAsia="Arial" w:hAnsi="Arial" w:cs="Arial"/>
                <w:sz w:val="20"/>
                <w:szCs w:val="20"/>
              </w:rPr>
              <w:t>toan</w:t>
            </w:r>
            <w:proofErr w:type="spellEnd"/>
            <w:r>
              <w:rPr>
                <w:rFonts w:ascii="Arial" w:eastAsia="Arial" w:hAnsi="Arial" w:cs="Arial"/>
                <w:sz w:val="20"/>
                <w:szCs w:val="20"/>
              </w:rPr>
              <w:t>” with “to an”.</w:t>
            </w:r>
          </w:p>
        </w:tc>
        <w:tc>
          <w:tcPr>
            <w:tcW w:w="5564" w:type="dxa"/>
          </w:tcPr>
          <w:p w14:paraId="73678269" w14:textId="2251336A"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HBBC agree, modification to be made</w:t>
            </w:r>
            <w:r w:rsidR="00E9526A">
              <w:rPr>
                <w:rFonts w:ascii="Arial" w:eastAsia="Arial" w:hAnsi="Arial" w:cs="Arial"/>
                <w:sz w:val="20"/>
                <w:szCs w:val="20"/>
              </w:rPr>
              <w:t xml:space="preserve">, </w:t>
            </w:r>
            <w:r>
              <w:rPr>
                <w:rFonts w:ascii="Arial" w:eastAsia="Arial" w:hAnsi="Arial" w:cs="Arial"/>
                <w:sz w:val="20"/>
                <w:szCs w:val="20"/>
              </w:rPr>
              <w:t>typographical error.</w:t>
            </w:r>
          </w:p>
          <w:p w14:paraId="327D2F46" w14:textId="77777777" w:rsidR="00724BEF" w:rsidRDefault="00724BEF" w:rsidP="00BC3A82">
            <w:pPr>
              <w:spacing w:before="120" w:after="120" w:line="276" w:lineRule="auto"/>
              <w:rPr>
                <w:rFonts w:ascii="Arial" w:eastAsia="Arial" w:hAnsi="Arial" w:cs="Arial"/>
                <w:sz w:val="20"/>
                <w:szCs w:val="20"/>
              </w:rPr>
            </w:pPr>
          </w:p>
        </w:tc>
      </w:tr>
      <w:tr w:rsidR="00F62774" w14:paraId="6F633885" w14:textId="77777777" w:rsidTr="00724BEF">
        <w:tc>
          <w:tcPr>
            <w:tcW w:w="1734" w:type="dxa"/>
          </w:tcPr>
          <w:p w14:paraId="0A700B21"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lastRenderedPageBreak/>
              <w:t>28</w:t>
            </w:r>
          </w:p>
        </w:tc>
        <w:tc>
          <w:tcPr>
            <w:tcW w:w="1947" w:type="dxa"/>
          </w:tcPr>
          <w:p w14:paraId="0767B062" w14:textId="3FDB4022" w:rsidR="00F62774" w:rsidRDefault="00724BEF" w:rsidP="00BC3A82">
            <w:pPr>
              <w:spacing w:before="120" w:after="120" w:line="276" w:lineRule="auto"/>
              <w:rPr>
                <w:rFonts w:ascii="Arial" w:eastAsia="Arial" w:hAnsi="Arial" w:cs="Arial"/>
                <w:sz w:val="20"/>
                <w:szCs w:val="20"/>
              </w:rPr>
            </w:pPr>
            <w:r>
              <w:rPr>
                <w:rFonts w:ascii="Arial" w:eastAsia="Arial" w:hAnsi="Arial" w:cs="Arial"/>
                <w:sz w:val="20"/>
                <w:szCs w:val="20"/>
              </w:rPr>
              <w:t>Page 77</w:t>
            </w:r>
          </w:p>
        </w:tc>
        <w:tc>
          <w:tcPr>
            <w:tcW w:w="3723" w:type="dxa"/>
          </w:tcPr>
          <w:p w14:paraId="2FE64657"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 xml:space="preserve">The Examiner discusses modification 28, in paragraph 6.2.3 on page 77. </w:t>
            </w:r>
          </w:p>
        </w:tc>
        <w:tc>
          <w:tcPr>
            <w:tcW w:w="7475" w:type="dxa"/>
          </w:tcPr>
          <w:p w14:paraId="30254DED"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Replace the whole paragraph with “There are three buses a day in each direction between Coalville and Leicester that serve Bagworth and Thornton and a different three buses a day between Coalville and Leicester in each direction that serve Stanton-under-Bardon. There are addition buses in term time and a demand responsive service. There are no buses on Sundays.”</w:t>
            </w:r>
          </w:p>
        </w:tc>
        <w:tc>
          <w:tcPr>
            <w:tcW w:w="5564" w:type="dxa"/>
          </w:tcPr>
          <w:p w14:paraId="5C7166A5"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HBBC agree, modification to be made because the bus service has changed significantly and the paragraph is now out of date. The revised wording accurately describes the current services, correcting a factual error and providing an up-to-date evidence base.</w:t>
            </w:r>
          </w:p>
          <w:p w14:paraId="4B8F051C" w14:textId="77777777" w:rsidR="00724BEF" w:rsidRDefault="00724BEF" w:rsidP="00BC3A82">
            <w:pPr>
              <w:spacing w:before="120" w:after="120" w:line="276" w:lineRule="auto"/>
              <w:rPr>
                <w:rFonts w:ascii="Arial" w:eastAsia="Arial" w:hAnsi="Arial" w:cs="Arial"/>
                <w:sz w:val="20"/>
                <w:szCs w:val="20"/>
              </w:rPr>
            </w:pPr>
          </w:p>
          <w:p w14:paraId="222B3A2B" w14:textId="77777777" w:rsidR="00724BEF" w:rsidRDefault="00724BEF" w:rsidP="00BC3A82">
            <w:pPr>
              <w:spacing w:before="120" w:after="120" w:line="276" w:lineRule="auto"/>
              <w:rPr>
                <w:rFonts w:ascii="Arial" w:eastAsia="Arial" w:hAnsi="Arial" w:cs="Arial"/>
                <w:sz w:val="20"/>
                <w:szCs w:val="20"/>
              </w:rPr>
            </w:pPr>
          </w:p>
        </w:tc>
      </w:tr>
      <w:tr w:rsidR="00F62774" w14:paraId="032481E8" w14:textId="77777777" w:rsidTr="00724BEF">
        <w:tc>
          <w:tcPr>
            <w:tcW w:w="1734" w:type="dxa"/>
          </w:tcPr>
          <w:p w14:paraId="4C7C294C"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29</w:t>
            </w:r>
          </w:p>
        </w:tc>
        <w:tc>
          <w:tcPr>
            <w:tcW w:w="1947" w:type="dxa"/>
          </w:tcPr>
          <w:p w14:paraId="52492080" w14:textId="5CF43040" w:rsidR="00F62774" w:rsidRDefault="00724BEF" w:rsidP="00BC3A82">
            <w:pPr>
              <w:spacing w:before="120" w:after="120" w:line="276" w:lineRule="auto"/>
              <w:rPr>
                <w:rFonts w:ascii="Arial" w:eastAsia="Arial" w:hAnsi="Arial" w:cs="Arial"/>
                <w:sz w:val="20"/>
                <w:szCs w:val="20"/>
              </w:rPr>
            </w:pPr>
            <w:r>
              <w:rPr>
                <w:rFonts w:ascii="Arial" w:eastAsia="Arial" w:hAnsi="Arial" w:cs="Arial"/>
                <w:sz w:val="20"/>
                <w:szCs w:val="20"/>
              </w:rPr>
              <w:t>Page 81, Policy BE4</w:t>
            </w:r>
          </w:p>
        </w:tc>
        <w:tc>
          <w:tcPr>
            <w:tcW w:w="3723" w:type="dxa"/>
          </w:tcPr>
          <w:p w14:paraId="5A70AACF"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 xml:space="preserve">The Examiner discusses modification 29 in Policy BE4 on page 81. </w:t>
            </w:r>
          </w:p>
        </w:tc>
        <w:tc>
          <w:tcPr>
            <w:tcW w:w="7475" w:type="dxa"/>
          </w:tcPr>
          <w:p w14:paraId="2F55BF03"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Delete “and commercial”.</w:t>
            </w:r>
          </w:p>
          <w:p w14:paraId="078D9A94"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Delete “rural”.</w:t>
            </w:r>
          </w:p>
        </w:tc>
        <w:tc>
          <w:tcPr>
            <w:tcW w:w="5564" w:type="dxa"/>
          </w:tcPr>
          <w:p w14:paraId="1F5592FE" w14:textId="77777777" w:rsidR="00F62774" w:rsidRDefault="007E0D52" w:rsidP="00BC3A82">
            <w:pPr>
              <w:spacing w:before="120" w:after="120" w:line="276" w:lineRule="auto"/>
              <w:rPr>
                <w:rFonts w:ascii="Arial" w:eastAsia="Arial" w:hAnsi="Arial" w:cs="Arial"/>
                <w:sz w:val="20"/>
                <w:szCs w:val="20"/>
              </w:rPr>
            </w:pPr>
            <w:r>
              <w:rPr>
                <w:rFonts w:ascii="Arial" w:eastAsia="Arial" w:hAnsi="Arial" w:cs="Arial"/>
                <w:sz w:val="20"/>
                <w:szCs w:val="20"/>
              </w:rPr>
              <w:t>HBBC agree, modification to be made because the reference to commercial buildings is not supported by the supporting text and is not appropriate to a farm diversification policy, and limiting use to a rural location is inappropriate where some agricultural buildings lie within a settlement. Deleting “and commercial” and “rural” provides clarity and ensures the policy is justified by its evidence.</w:t>
            </w:r>
          </w:p>
          <w:p w14:paraId="5E6FD3FD" w14:textId="77777777" w:rsidR="00724BEF" w:rsidRDefault="00724BEF" w:rsidP="00BC3A82">
            <w:pPr>
              <w:spacing w:before="120" w:after="120" w:line="276" w:lineRule="auto"/>
              <w:rPr>
                <w:rFonts w:ascii="Arial" w:eastAsia="Arial" w:hAnsi="Arial" w:cs="Arial"/>
                <w:sz w:val="20"/>
                <w:szCs w:val="20"/>
              </w:rPr>
            </w:pPr>
          </w:p>
        </w:tc>
      </w:tr>
    </w:tbl>
    <w:p w14:paraId="2A985176" w14:textId="77777777" w:rsidR="00F62774" w:rsidRDefault="00F62774"/>
    <w:p w14:paraId="3079EDD8" w14:textId="77777777" w:rsidR="00F62774" w:rsidRDefault="00F62774">
      <w:pPr>
        <w:rPr>
          <w:rFonts w:ascii="Arial" w:eastAsia="Arial" w:hAnsi="Arial" w:cs="Arial"/>
        </w:rPr>
      </w:pPr>
    </w:p>
    <w:sectPr w:rsidR="00F62774" w:rsidSect="006D1DCF">
      <w:pgSz w:w="23811" w:h="16838" w:orient="landscape" w:code="8"/>
      <w:pgMar w:top="1276" w:right="1440" w:bottom="1134" w:left="1440"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E37D5" w14:textId="77777777" w:rsidR="007E0D52" w:rsidRDefault="007E0D52">
      <w:pPr>
        <w:spacing w:after="0" w:line="240" w:lineRule="auto"/>
      </w:pPr>
      <w:r>
        <w:separator/>
      </w:r>
    </w:p>
  </w:endnote>
  <w:endnote w:type="continuationSeparator" w:id="0">
    <w:p w14:paraId="59295FD8" w14:textId="77777777" w:rsidR="007E0D52" w:rsidRDefault="007E0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81C3A" w14:textId="77777777" w:rsidR="00F62774" w:rsidRDefault="00F62774">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C00A7" w14:textId="77777777" w:rsidR="00F62774" w:rsidRDefault="00F62774">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6984C" w14:textId="77777777" w:rsidR="00F62774" w:rsidRDefault="00F62774">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4319F" w14:textId="77777777" w:rsidR="007E0D52" w:rsidRDefault="007E0D52">
      <w:pPr>
        <w:spacing w:after="0" w:line="240" w:lineRule="auto"/>
      </w:pPr>
      <w:r>
        <w:separator/>
      </w:r>
    </w:p>
  </w:footnote>
  <w:footnote w:type="continuationSeparator" w:id="0">
    <w:p w14:paraId="04C75BD5" w14:textId="77777777" w:rsidR="007E0D52" w:rsidRDefault="007E0D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BEF69" w14:textId="77777777" w:rsidR="00F62774" w:rsidRDefault="00F62774">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24C7F" w14:textId="77777777" w:rsidR="00F62774" w:rsidRDefault="00F62774">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17C38" w14:textId="77777777" w:rsidR="00F62774" w:rsidRDefault="00F62774">
    <w:pPr>
      <w:pBdr>
        <w:top w:val="nil"/>
        <w:left w:val="nil"/>
        <w:bottom w:val="nil"/>
        <w:right w:val="nil"/>
        <w:between w:val="nil"/>
      </w:pBdr>
      <w:tabs>
        <w:tab w:val="center" w:pos="4513"/>
        <w:tab w:val="right" w:pos="9026"/>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774"/>
    <w:rsid w:val="00293E0A"/>
    <w:rsid w:val="004267C0"/>
    <w:rsid w:val="00432F6E"/>
    <w:rsid w:val="00570BA4"/>
    <w:rsid w:val="006D1DCF"/>
    <w:rsid w:val="00724BEF"/>
    <w:rsid w:val="007E0D52"/>
    <w:rsid w:val="00BC3A82"/>
    <w:rsid w:val="00E9526A"/>
    <w:rsid w:val="00F20FE0"/>
    <w:rsid w:val="00F627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5D926"/>
  <w15:docId w15:val="{B6D68CB9-A500-492B-8251-3E678FD2F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outlineLvl w:val="0"/>
    </w:pPr>
    <w:rPr>
      <w:rFonts w:ascii="Arial" w:eastAsia="Arial" w:hAnsi="Arial" w:cs="Arial"/>
      <w:b/>
      <w:u w:val="single"/>
    </w:rPr>
  </w:style>
  <w:style w:type="paragraph" w:styleId="Heading2">
    <w:name w:val="heading 2"/>
    <w:basedOn w:val="Normal"/>
    <w:next w:val="Normal"/>
    <w:uiPriority w:val="9"/>
    <w:semiHidden/>
    <w:unhideWhenUsed/>
    <w:qFormat/>
    <w:pPr>
      <w:pBdr>
        <w:top w:val="nil"/>
        <w:left w:val="nil"/>
        <w:bottom w:val="nil"/>
        <w:right w:val="nil"/>
        <w:between w:val="nil"/>
      </w:pBdr>
      <w:spacing w:after="0" w:line="240" w:lineRule="auto"/>
      <w:ind w:left="-142" w:firstLine="142"/>
      <w:outlineLvl w:val="1"/>
    </w:pPr>
    <w:rPr>
      <w:rFonts w:ascii="Arial" w:eastAsia="Arial" w:hAnsi="Arial" w:cs="Arial"/>
      <w:b/>
      <w:color w:val="000000"/>
      <w:u w:val="single"/>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rFonts w:ascii="Arial" w:eastAsia="Arial" w:hAnsi="Arial" w:cs="Arial"/>
      <w:b/>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9D289908743348BB2521B33FFC214A" ma:contentTypeVersion="15" ma:contentTypeDescription="Create a new document." ma:contentTypeScope="" ma:versionID="2d01d04df81c9bca9ba15137f9e76d28">
  <xsd:schema xmlns:xsd="http://www.w3.org/2001/XMLSchema" xmlns:xs="http://www.w3.org/2001/XMLSchema" xmlns:p="http://schemas.microsoft.com/office/2006/metadata/properties" xmlns:ns2="2728f1e8-cf03-47d1-91c3-a745775b8536" xmlns:ns3="f8fbec07-4b40-4cb6-ba83-ecb4ac98b970" targetNamespace="http://schemas.microsoft.com/office/2006/metadata/properties" ma:root="true" ma:fieldsID="f232fc70ee929150d463a03b821cfdfb" ns2:_="" ns3:_="">
    <xsd:import namespace="2728f1e8-cf03-47d1-91c3-a745775b8536"/>
    <xsd:import namespace="f8fbec07-4b40-4cb6-ba83-ecb4ac98b9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DateChange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28f1e8-cf03-47d1-91c3-a745775b85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6d1e772-8d1f-4817-b85e-b3ff9a5067c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DateChanged" ma:index="20" nillable="true" ma:displayName="Date Changed" ma:default="1" ma:format="Dropdown" ma:internalName="DateChanged">
      <xsd:simpleType>
        <xsd:restriction base="dms:Boolea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fbec07-4b40-4cb6-ba83-ecb4ac98b97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0a478ad-322a-40d1-a2d0-e4f8fd1548fc}" ma:internalName="TaxCatchAll" ma:showField="CatchAllData" ma:web="f8fbec07-4b40-4cb6-ba83-ecb4ac98b9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ateChanged xmlns="2728f1e8-cf03-47d1-91c3-a745775b8536">true</DateChanged>
    <lcf76f155ced4ddcb4097134ff3c332f xmlns="2728f1e8-cf03-47d1-91c3-a745775b8536">
      <Terms xmlns="http://schemas.microsoft.com/office/infopath/2007/PartnerControls"/>
    </lcf76f155ced4ddcb4097134ff3c332f>
    <TaxCatchAll xmlns="f8fbec07-4b40-4cb6-ba83-ecb4ac98b970" xsi:nil="true"/>
  </documentManagement>
</p:properties>
</file>

<file path=customXml/itemProps1.xml><?xml version="1.0" encoding="utf-8"?>
<ds:datastoreItem xmlns:ds="http://schemas.openxmlformats.org/officeDocument/2006/customXml" ds:itemID="{EFDFB790-3EAD-4353-B5EE-54A98741C2E7}">
  <ds:schemaRefs>
    <ds:schemaRef ds:uri="http://schemas.microsoft.com/sharepoint/v3/contenttype/forms"/>
  </ds:schemaRefs>
</ds:datastoreItem>
</file>

<file path=customXml/itemProps2.xml><?xml version="1.0" encoding="utf-8"?>
<ds:datastoreItem xmlns:ds="http://schemas.openxmlformats.org/officeDocument/2006/customXml" ds:itemID="{E621C987-441E-490E-ACAC-E0252BBEE8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28f1e8-cf03-47d1-91c3-a745775b8536"/>
    <ds:schemaRef ds:uri="f8fbec07-4b40-4cb6-ba83-ecb4ac98b9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923019-A1C6-45D6-97CF-0ED2E901FF1F}">
  <ds:schemaRefs>
    <ds:schemaRef ds:uri="http://schemas.openxmlformats.org/officeDocument/2006/bibliography"/>
  </ds:schemaRefs>
</ds:datastoreItem>
</file>

<file path=customXml/itemProps4.xml><?xml version="1.0" encoding="utf-8"?>
<ds:datastoreItem xmlns:ds="http://schemas.openxmlformats.org/officeDocument/2006/customXml" ds:itemID="{29852B3E-49F7-410A-BB89-ED56418EA3D3}">
  <ds:schemaRefs>
    <ds:schemaRef ds:uri="http://schemas.microsoft.com/office/2006/metadata/properties"/>
    <ds:schemaRef ds:uri="http://schemas.microsoft.com/office/infopath/2007/PartnerControls"/>
    <ds:schemaRef ds:uri="2728f1e8-cf03-47d1-91c3-a745775b8536"/>
    <ds:schemaRef ds:uri="f8fbec07-4b40-4cb6-ba83-ecb4ac98b970"/>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9</Pages>
  <Words>3973</Words>
  <Characters>21222</Characters>
  <Application>Microsoft Office Word</Application>
  <DocSecurity>0</DocSecurity>
  <Lines>624</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 Morris</dc:creator>
  <cp:lastModifiedBy>Fran Morris</cp:lastModifiedBy>
  <cp:revision>4</cp:revision>
  <dcterms:created xsi:type="dcterms:W3CDTF">2026-06-15T10:36:00Z</dcterms:created>
  <dcterms:modified xsi:type="dcterms:W3CDTF">2026-06-15T11:24:00Z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0x010100519D289908743348BB2521B33FFC214A</vt:lpwstr>
  </property>
  <property fmtid="{D5CDD505-2E9C-101B-9397-08002B2CF9AE}" pid="3" name="MediaServiceImageTags">
    <vt:lpwstr/>
  </property>
</Properties>
</file>