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1181199" w14:textId="77777777" w:rsidR="00D872ED" w:rsidRDefault="00D872ED" w:rsidP="00D872ED">
      <w:pPr>
        <w:rPr>
          <w:rFonts w:ascii="Calibri Light" w:eastAsia="Calibri Light" w:hAnsi="Calibri Light" w:cs="Calibri Light"/>
          <w:kern w:val="0"/>
          <w:lang w:eastAsia="en-GB" w:bidi="en-GB"/>
          <w14:ligatures w14:val="none"/>
        </w:rPr>
      </w:pPr>
      <w:proofErr w:type="spellStart"/>
      <w:r w:rsidRPr="00C756BB">
        <w:rPr>
          <w:rFonts w:ascii="Calibri Light" w:eastAsia="Calibri Light" w:hAnsi="Calibri Light" w:cs="Calibri Light"/>
          <w:b/>
          <w:bCs/>
          <w:kern w:val="0"/>
          <w:lang w:eastAsia="en-GB" w:bidi="en-GB"/>
          <w14:ligatures w14:val="none"/>
        </w:rPr>
        <w:t>Bagworth</w:t>
      </w:r>
      <w:proofErr w:type="spellEnd"/>
      <w:r w:rsidRPr="00C756BB">
        <w:rPr>
          <w:rFonts w:ascii="Calibri Light" w:eastAsia="Calibri Light" w:hAnsi="Calibri Light" w:cs="Calibri Light"/>
          <w:b/>
          <w:bCs/>
          <w:kern w:val="0"/>
          <w:lang w:eastAsia="en-GB" w:bidi="en-GB"/>
          <w14:ligatures w14:val="none"/>
        </w:rPr>
        <w:t xml:space="preserve"> and Thornton Parish Council – Plan Update Report</w:t>
      </w:r>
      <w:r w:rsidRPr="00C756BB">
        <w:rPr>
          <w:rFonts w:ascii="Calibri Light" w:eastAsia="Calibri Light" w:hAnsi="Calibri Light" w:cs="Calibri Light"/>
          <w:kern w:val="0"/>
          <w:lang w:eastAsia="en-GB" w:bidi="en-GB"/>
          <w14:ligatures w14:val="none"/>
        </w:rPr>
        <w:br/>
      </w:r>
      <w:r w:rsidRPr="00C756BB">
        <w:rPr>
          <w:rFonts w:ascii="Calibri Light" w:eastAsia="Calibri Light" w:hAnsi="Calibri Light" w:cs="Calibri Light"/>
          <w:b/>
          <w:bCs/>
          <w:kern w:val="0"/>
          <w:lang w:eastAsia="en-GB" w:bidi="en-GB"/>
          <w14:ligatures w14:val="none"/>
        </w:rPr>
        <w:t>Date:</w:t>
      </w:r>
      <w:r w:rsidRPr="00C756BB">
        <w:rPr>
          <w:rFonts w:ascii="Calibri Light" w:eastAsia="Calibri Light" w:hAnsi="Calibri Light" w:cs="Calibri Light"/>
          <w:kern w:val="0"/>
          <w:lang w:eastAsia="en-GB" w:bidi="en-GB"/>
          <w14:ligatures w14:val="none"/>
        </w:rPr>
        <w:t xml:space="preserve"> </w:t>
      </w:r>
    </w:p>
    <w:p w14:paraId="5367F8D7" w14:textId="77777777" w:rsidR="00D872ED" w:rsidRDefault="00D872ED" w:rsidP="00D872ED">
      <w:pPr>
        <w:rPr>
          <w:rFonts w:ascii="Calibri Light" w:eastAsia="Calibri Light" w:hAnsi="Calibri Light" w:cs="Calibri Light"/>
          <w:kern w:val="0"/>
          <w:lang w:eastAsia="en-GB" w:bidi="en-GB"/>
          <w14:ligatures w14:val="none"/>
        </w:rPr>
      </w:pPr>
    </w:p>
    <w:p w14:paraId="56C23D46" w14:textId="77777777" w:rsidR="00D872ED" w:rsidRPr="00C756BB" w:rsidRDefault="00D872ED" w:rsidP="00D872ED">
      <w:pPr>
        <w:rPr>
          <w:rFonts w:ascii="Calibri Light" w:eastAsia="Calibri Light" w:hAnsi="Calibri Light" w:cs="Calibri Light"/>
          <w:b/>
          <w:bCs/>
          <w:kern w:val="0"/>
          <w:lang w:eastAsia="en-GB" w:bidi="en-GB"/>
          <w14:ligatures w14:val="none"/>
        </w:rPr>
      </w:pPr>
      <w:r w:rsidRPr="00C756BB">
        <w:rPr>
          <w:rFonts w:ascii="Calibri Light" w:eastAsia="Calibri Light" w:hAnsi="Calibri Light" w:cs="Calibri Light"/>
          <w:b/>
          <w:bCs/>
          <w:kern w:val="0"/>
          <w:lang w:eastAsia="en-GB" w:bidi="en-GB"/>
          <w14:ligatures w14:val="none"/>
        </w:rPr>
        <w:t>6th October 2025</w:t>
      </w:r>
    </w:p>
    <w:p w14:paraId="74B59938" w14:textId="77777777" w:rsidR="00D872ED" w:rsidRDefault="00D872ED" w:rsidP="00D872ED">
      <w:pPr>
        <w:rPr>
          <w:rFonts w:ascii="Calibri Light" w:eastAsia="Calibri Light" w:hAnsi="Calibri Light" w:cs="Calibri Light"/>
          <w:kern w:val="0"/>
          <w:lang w:eastAsia="en-GB" w:bidi="en-GB"/>
          <w14:ligatures w14:val="none"/>
        </w:rPr>
      </w:pPr>
    </w:p>
    <w:p w14:paraId="75C3DDAB" w14:textId="77777777" w:rsidR="00D872ED" w:rsidRPr="00C756BB" w:rsidRDefault="00D872ED" w:rsidP="00D872ED">
      <w:pPr>
        <w:rPr>
          <w:rFonts w:ascii="Calibri Light" w:eastAsia="Calibri Light" w:hAnsi="Calibri Light" w:cs="Calibri Light"/>
          <w:kern w:val="0"/>
          <w:lang w:eastAsia="en-GB" w:bidi="en-GB"/>
          <w14:ligatures w14:val="none"/>
        </w:rPr>
      </w:pPr>
      <w:proofErr w:type="spellStart"/>
      <w:r w:rsidRPr="00C756BB">
        <w:rPr>
          <w:rFonts w:ascii="Calibri Light" w:eastAsia="Calibri Light" w:hAnsi="Calibri Light" w:cs="Calibri Light"/>
          <w:kern w:val="0"/>
          <w:lang w:eastAsia="en-GB" w:bidi="en-GB"/>
          <w14:ligatures w14:val="none"/>
        </w:rPr>
        <w:t>Bagworth</w:t>
      </w:r>
      <w:proofErr w:type="spellEnd"/>
      <w:r w:rsidRPr="00C756BB">
        <w:rPr>
          <w:rFonts w:ascii="Calibri Light" w:eastAsia="Calibri Light" w:hAnsi="Calibri Light" w:cs="Calibri Light"/>
          <w:kern w:val="0"/>
          <w:lang w:eastAsia="en-GB" w:bidi="en-GB"/>
          <w14:ligatures w14:val="none"/>
        </w:rPr>
        <w:t xml:space="preserve"> and Thornton Parish Council have updated the Neighbourhood Plan </w:t>
      </w:r>
      <w:r>
        <w:rPr>
          <w:rFonts w:ascii="Calibri Light" w:eastAsia="Calibri Light" w:hAnsi="Calibri Light" w:cs="Calibri Light"/>
          <w:kern w:val="0"/>
          <w:lang w:eastAsia="en-GB" w:bidi="en-GB"/>
          <w14:ligatures w14:val="none"/>
        </w:rPr>
        <w:t xml:space="preserve">and provided the following information </w:t>
      </w:r>
      <w:r w:rsidRPr="00C756BB">
        <w:rPr>
          <w:rFonts w:ascii="Calibri Light" w:eastAsia="Calibri Light" w:hAnsi="Calibri Light" w:cs="Calibri Light"/>
          <w:kern w:val="0"/>
          <w:lang w:eastAsia="en-GB" w:bidi="en-GB"/>
          <w14:ligatures w14:val="none"/>
        </w:rPr>
        <w:t>in response to the examiner’s email dated 21st September 2025.</w:t>
      </w:r>
    </w:p>
    <w:p w14:paraId="761BF1B6" w14:textId="77777777" w:rsidR="00D872ED" w:rsidRDefault="00D872ED" w:rsidP="00D872ED">
      <w:pPr>
        <w:rPr>
          <w:rFonts w:ascii="Calibri Light" w:eastAsia="Calibri Light" w:hAnsi="Calibri Light" w:cs="Calibri Light"/>
          <w:kern w:val="0"/>
          <w:lang w:eastAsia="en-GB" w:bidi="en-GB"/>
          <w14:ligatures w14:val="none"/>
        </w:rPr>
      </w:pPr>
    </w:p>
    <w:p w14:paraId="2914D86B" w14:textId="77777777" w:rsidR="00D872ED" w:rsidRPr="00C756BB" w:rsidRDefault="00D872ED" w:rsidP="00D872ED">
      <w:pPr>
        <w:numPr>
          <w:ilvl w:val="0"/>
          <w:numId w:val="2"/>
        </w:numPr>
        <w:spacing w:after="0" w:line="240" w:lineRule="auto"/>
        <w:rPr>
          <w:rFonts w:ascii="Calibri Light" w:eastAsia="Calibri Light" w:hAnsi="Calibri Light" w:cs="Calibri Light"/>
          <w:kern w:val="0"/>
          <w:lang w:eastAsia="en-GB" w:bidi="en-GB"/>
          <w14:ligatures w14:val="none"/>
        </w:rPr>
      </w:pPr>
      <w:r>
        <w:rPr>
          <w:rFonts w:ascii="Calibri Light" w:eastAsia="Calibri Light" w:hAnsi="Calibri Light" w:cs="Calibri Light"/>
          <w:kern w:val="0"/>
          <w:lang w:eastAsia="en-GB" w:bidi="en-GB"/>
          <w14:ligatures w14:val="none"/>
        </w:rPr>
        <w:t xml:space="preserve">They have </w:t>
      </w:r>
      <w:r w:rsidRPr="00C756BB">
        <w:rPr>
          <w:rFonts w:ascii="Calibri Light" w:eastAsia="Calibri Light" w:hAnsi="Calibri Light" w:cs="Calibri Light"/>
          <w:kern w:val="0"/>
          <w:lang w:eastAsia="en-GB" w:bidi="en-GB"/>
          <w14:ligatures w14:val="none"/>
        </w:rPr>
        <w:t>updated section 2.4 of the Plan that relates to the Census information.  A copy of this new section is attached.</w:t>
      </w:r>
    </w:p>
    <w:p w14:paraId="1FBF39BE" w14:textId="77777777" w:rsidR="00D872ED" w:rsidRPr="00C756BB" w:rsidRDefault="00D872ED" w:rsidP="00D872ED">
      <w:pPr>
        <w:numPr>
          <w:ilvl w:val="0"/>
          <w:numId w:val="2"/>
        </w:numPr>
        <w:spacing w:after="0" w:line="240" w:lineRule="auto"/>
        <w:rPr>
          <w:rFonts w:ascii="Calibri Light" w:eastAsia="Calibri Light" w:hAnsi="Calibri Light" w:cs="Calibri Light"/>
          <w:kern w:val="0"/>
          <w:lang w:eastAsia="en-GB" w:bidi="en-GB"/>
          <w14:ligatures w14:val="none"/>
        </w:rPr>
      </w:pPr>
      <w:r>
        <w:rPr>
          <w:rFonts w:ascii="Calibri Light" w:eastAsia="Calibri Light" w:hAnsi="Calibri Light" w:cs="Calibri Light"/>
          <w:kern w:val="0"/>
          <w:lang w:eastAsia="en-GB" w:bidi="en-GB"/>
          <w14:ligatures w14:val="none"/>
        </w:rPr>
        <w:t xml:space="preserve">They also submitted </w:t>
      </w:r>
      <w:r w:rsidRPr="00C756BB">
        <w:rPr>
          <w:rFonts w:ascii="Calibri Light" w:eastAsia="Calibri Light" w:hAnsi="Calibri Light" w:cs="Calibri Light"/>
          <w:kern w:val="0"/>
          <w:lang w:eastAsia="en-GB" w:bidi="en-GB"/>
          <w14:ligatures w14:val="none"/>
        </w:rPr>
        <w:t>much clearer copies of the Plan’s Figures 11, 14 and 15</w:t>
      </w:r>
      <w:r>
        <w:rPr>
          <w:rFonts w:ascii="Calibri Light" w:eastAsia="Calibri Light" w:hAnsi="Calibri Light" w:cs="Calibri Light"/>
          <w:kern w:val="0"/>
          <w:lang w:eastAsia="en-GB" w:bidi="en-GB"/>
          <w14:ligatures w14:val="none"/>
        </w:rPr>
        <w:t xml:space="preserve"> – attached to this report</w:t>
      </w:r>
      <w:r w:rsidRPr="00C756BB">
        <w:rPr>
          <w:rFonts w:ascii="Calibri Light" w:eastAsia="Calibri Light" w:hAnsi="Calibri Light" w:cs="Calibri Light"/>
          <w:kern w:val="0"/>
          <w:lang w:eastAsia="en-GB" w:bidi="en-GB"/>
          <w14:ligatures w14:val="none"/>
        </w:rPr>
        <w:t xml:space="preserve">.  </w:t>
      </w:r>
    </w:p>
    <w:p w14:paraId="061702B2" w14:textId="77777777" w:rsidR="00D872ED" w:rsidRPr="00C756BB" w:rsidRDefault="00D872ED" w:rsidP="00D872ED">
      <w:pPr>
        <w:numPr>
          <w:ilvl w:val="0"/>
          <w:numId w:val="2"/>
        </w:numPr>
        <w:spacing w:after="0" w:line="240" w:lineRule="auto"/>
        <w:rPr>
          <w:rFonts w:ascii="Calibri Light" w:eastAsia="Calibri Light" w:hAnsi="Calibri Light" w:cs="Calibri Light"/>
          <w:kern w:val="0"/>
          <w:lang w:eastAsia="en-GB" w:bidi="en-GB"/>
          <w14:ligatures w14:val="none"/>
        </w:rPr>
      </w:pPr>
      <w:r w:rsidRPr="00C756BB">
        <w:rPr>
          <w:rFonts w:ascii="Calibri Light" w:eastAsia="Calibri Light" w:hAnsi="Calibri Light" w:cs="Calibri Light"/>
          <w:kern w:val="0"/>
          <w:lang w:eastAsia="en-GB" w:bidi="en-GB"/>
          <w14:ligatures w14:val="none"/>
        </w:rPr>
        <w:t xml:space="preserve">A plan showing the parcels of land that make up Figure 9 in the Plan is attached.  The ownership details for these parcels as follows:  701, 702, 703, 704, 711, 712 and 750 are owned by </w:t>
      </w:r>
      <w:proofErr w:type="spellStart"/>
      <w:r w:rsidRPr="00C756BB">
        <w:rPr>
          <w:rFonts w:ascii="Calibri Light" w:eastAsia="Calibri Light" w:hAnsi="Calibri Light" w:cs="Calibri Light"/>
          <w:kern w:val="0"/>
          <w:lang w:eastAsia="en-GB" w:bidi="en-GB"/>
          <w14:ligatures w14:val="none"/>
        </w:rPr>
        <w:t>Bagworth</w:t>
      </w:r>
      <w:proofErr w:type="spellEnd"/>
      <w:r w:rsidRPr="00C756BB">
        <w:rPr>
          <w:rFonts w:ascii="Calibri Light" w:eastAsia="Calibri Light" w:hAnsi="Calibri Light" w:cs="Calibri Light"/>
          <w:kern w:val="0"/>
          <w:lang w:eastAsia="en-GB" w:bidi="en-GB"/>
          <w14:ligatures w14:val="none"/>
        </w:rPr>
        <w:t xml:space="preserve"> and Thornton Parish Council.  710 – is owned by </w:t>
      </w:r>
      <w:proofErr w:type="spellStart"/>
      <w:r w:rsidRPr="00C756BB">
        <w:rPr>
          <w:rFonts w:ascii="Calibri Light" w:eastAsia="Calibri Light" w:hAnsi="Calibri Light" w:cs="Calibri Light"/>
          <w:kern w:val="0"/>
          <w:lang w:eastAsia="en-GB" w:bidi="en-GB"/>
          <w14:ligatures w14:val="none"/>
        </w:rPr>
        <w:t>Omnivale</w:t>
      </w:r>
      <w:proofErr w:type="spellEnd"/>
      <w:r w:rsidRPr="00C756BB">
        <w:rPr>
          <w:rFonts w:ascii="Calibri Light" w:eastAsia="Calibri Light" w:hAnsi="Calibri Light" w:cs="Calibri Light"/>
          <w:kern w:val="0"/>
          <w:lang w:eastAsia="en-GB" w:bidi="en-GB"/>
          <w14:ligatures w14:val="none"/>
        </w:rPr>
        <w:t xml:space="preserve"> / </w:t>
      </w:r>
      <w:proofErr w:type="spellStart"/>
      <w:r w:rsidRPr="00C756BB">
        <w:rPr>
          <w:rFonts w:ascii="Calibri Light" w:eastAsia="Calibri Light" w:hAnsi="Calibri Light" w:cs="Calibri Light"/>
          <w:kern w:val="0"/>
          <w:lang w:eastAsia="en-GB" w:bidi="en-GB"/>
          <w14:ligatures w14:val="none"/>
        </w:rPr>
        <w:t>Strawsons</w:t>
      </w:r>
      <w:proofErr w:type="spellEnd"/>
      <w:r w:rsidRPr="00C756BB">
        <w:rPr>
          <w:rFonts w:ascii="Calibri Light" w:eastAsia="Calibri Light" w:hAnsi="Calibri Light" w:cs="Calibri Light"/>
          <w:kern w:val="0"/>
          <w:lang w:eastAsia="en-GB" w:bidi="en-GB"/>
          <w14:ligatures w14:val="none"/>
        </w:rPr>
        <w:t xml:space="preserve"> Property, Rowland Hall, </w:t>
      </w:r>
      <w:proofErr w:type="spellStart"/>
      <w:r w:rsidRPr="00C756BB">
        <w:rPr>
          <w:rFonts w:ascii="Calibri Light" w:eastAsia="Calibri Light" w:hAnsi="Calibri Light" w:cs="Calibri Light"/>
          <w:kern w:val="0"/>
          <w:lang w:eastAsia="en-GB" w:bidi="en-GB"/>
          <w14:ligatures w14:val="none"/>
        </w:rPr>
        <w:t>Newsholme</w:t>
      </w:r>
      <w:proofErr w:type="spellEnd"/>
      <w:r w:rsidRPr="00C756BB">
        <w:rPr>
          <w:rFonts w:ascii="Calibri Light" w:eastAsia="Calibri Light" w:hAnsi="Calibri Light" w:cs="Calibri Light"/>
          <w:kern w:val="0"/>
          <w:lang w:eastAsia="en-GB" w:bidi="en-GB"/>
          <w14:ligatures w14:val="none"/>
        </w:rPr>
        <w:t>, Howden, East Yorkshire, DN14 7JU.</w:t>
      </w:r>
    </w:p>
    <w:p w14:paraId="3BCF23E2" w14:textId="77777777" w:rsidR="00D872ED" w:rsidRPr="00C756BB" w:rsidRDefault="00D872ED" w:rsidP="00D872ED">
      <w:pPr>
        <w:numPr>
          <w:ilvl w:val="0"/>
          <w:numId w:val="2"/>
        </w:numPr>
        <w:spacing w:after="0" w:line="240" w:lineRule="auto"/>
        <w:rPr>
          <w:rFonts w:ascii="Calibri Light" w:eastAsia="Calibri Light" w:hAnsi="Calibri Light" w:cs="Calibri Light"/>
          <w:kern w:val="0"/>
          <w:lang w:eastAsia="en-GB" w:bidi="en-GB"/>
          <w14:ligatures w14:val="none"/>
        </w:rPr>
      </w:pPr>
      <w:r w:rsidRPr="00C756BB">
        <w:rPr>
          <w:rFonts w:ascii="Calibri Light" w:eastAsia="Calibri Light" w:hAnsi="Calibri Light" w:cs="Calibri Light"/>
          <w:kern w:val="0"/>
          <w:lang w:eastAsia="en-GB" w:bidi="en-GB"/>
          <w14:ligatures w14:val="none"/>
        </w:rPr>
        <w:t>The</w:t>
      </w:r>
      <w:r>
        <w:rPr>
          <w:rFonts w:ascii="Calibri Light" w:eastAsia="Calibri Light" w:hAnsi="Calibri Light" w:cs="Calibri Light"/>
          <w:kern w:val="0"/>
          <w:lang w:eastAsia="en-GB" w:bidi="en-GB"/>
          <w14:ligatures w14:val="none"/>
        </w:rPr>
        <w:t xml:space="preserve">y noted that the </w:t>
      </w:r>
      <w:r w:rsidRPr="00C756BB">
        <w:rPr>
          <w:rFonts w:ascii="Calibri Light" w:eastAsia="Calibri Light" w:hAnsi="Calibri Light" w:cs="Calibri Light"/>
          <w:kern w:val="0"/>
          <w:lang w:eastAsia="en-GB" w:bidi="en-GB"/>
          <w14:ligatures w14:val="none"/>
        </w:rPr>
        <w:t>only other house building development that has planning permission is the site at Beach Drive, Thornton, which is for 49 dwellings.  This development is currently outside of the Parish Boundary.</w:t>
      </w:r>
    </w:p>
    <w:p w14:paraId="2FB46D01" w14:textId="6A3BD883" w:rsidR="0005082A" w:rsidRDefault="0005082A">
      <w:pPr>
        <w:rPr>
          <w:rFonts w:ascii="Calibri Light" w:eastAsia="Calibri Light" w:hAnsi="Calibri Light" w:cs="Calibri Light"/>
          <w:kern w:val="0"/>
          <w:lang w:eastAsia="en-GB" w:bidi="en-GB"/>
          <w14:ligatures w14:val="none"/>
        </w:rPr>
      </w:pPr>
    </w:p>
    <w:p w14:paraId="0D4C3354" w14:textId="3F59C707" w:rsidR="00D872ED" w:rsidRDefault="00D872ED">
      <w:pPr>
        <w:rPr>
          <w:rFonts w:ascii="Calibri Light" w:eastAsia="Calibri Light" w:hAnsi="Calibri Light" w:cs="Calibri Light"/>
          <w:kern w:val="0"/>
          <w:lang w:eastAsia="en-GB" w:bidi="en-GB"/>
          <w14:ligatures w14:val="none"/>
        </w:rPr>
      </w:pPr>
      <w:r>
        <w:rPr>
          <w:rFonts w:ascii="Calibri Light" w:eastAsia="Calibri Light" w:hAnsi="Calibri Light" w:cs="Calibri Light"/>
          <w:kern w:val="0"/>
          <w:lang w:eastAsia="en-GB" w:bidi="en-GB"/>
          <w14:ligatures w14:val="none"/>
        </w:rPr>
        <w:br w:type="page"/>
      </w:r>
    </w:p>
    <w:p w14:paraId="752699B7" w14:textId="77777777" w:rsidR="0005082A" w:rsidRPr="00047DF4" w:rsidRDefault="0005082A" w:rsidP="0005082A">
      <w:pPr>
        <w:widowControl w:val="0"/>
        <w:tabs>
          <w:tab w:val="left" w:pos="1440"/>
        </w:tabs>
        <w:autoSpaceDE w:val="0"/>
        <w:autoSpaceDN w:val="0"/>
        <w:spacing w:before="20"/>
        <w:ind w:left="709"/>
        <w:outlineLvl w:val="1"/>
        <w:rPr>
          <w:rFonts w:ascii="Calibri Light" w:eastAsia="Calibri Light" w:hAnsi="Calibri Light" w:cs="Calibri Light"/>
          <w:color w:val="17365D"/>
          <w:kern w:val="0"/>
          <w:sz w:val="40"/>
          <w:szCs w:val="40"/>
          <w:lang w:eastAsia="en-GB" w:bidi="en-GB"/>
          <w14:ligatures w14:val="none"/>
        </w:rPr>
      </w:pPr>
      <w:r>
        <w:rPr>
          <w:rFonts w:ascii="Calibri Light" w:eastAsia="Calibri Light" w:hAnsi="Calibri Light" w:cs="Calibri Light"/>
          <w:color w:val="17365D"/>
          <w:kern w:val="0"/>
          <w:sz w:val="40"/>
          <w:szCs w:val="40"/>
          <w:lang w:eastAsia="en-GB" w:bidi="en-GB"/>
          <w14:ligatures w14:val="none"/>
        </w:rPr>
        <w:lastRenderedPageBreak/>
        <w:t xml:space="preserve">2.4 </w:t>
      </w:r>
      <w:proofErr w:type="spellStart"/>
      <w:r w:rsidRPr="00047DF4">
        <w:rPr>
          <w:rFonts w:ascii="Calibri Light" w:eastAsia="Calibri Light" w:hAnsi="Calibri Light" w:cs="Calibri Light"/>
          <w:color w:val="17365D"/>
          <w:kern w:val="0"/>
          <w:sz w:val="40"/>
          <w:szCs w:val="40"/>
          <w:lang w:eastAsia="en-GB" w:bidi="en-GB"/>
          <w14:ligatures w14:val="none"/>
        </w:rPr>
        <w:t>Bagworth</w:t>
      </w:r>
      <w:proofErr w:type="spellEnd"/>
      <w:r w:rsidRPr="00047DF4">
        <w:rPr>
          <w:rFonts w:ascii="Calibri Light" w:eastAsia="Calibri Light" w:hAnsi="Calibri Light" w:cs="Calibri Light"/>
          <w:color w:val="17365D"/>
          <w:kern w:val="0"/>
          <w:sz w:val="40"/>
          <w:szCs w:val="40"/>
          <w:lang w:eastAsia="en-GB" w:bidi="en-GB"/>
          <w14:ligatures w14:val="none"/>
        </w:rPr>
        <w:t>, Thornton and Stanton-under-Bardon Today (Based on the 20</w:t>
      </w:r>
      <w:r>
        <w:rPr>
          <w:rFonts w:ascii="Calibri Light" w:eastAsia="Calibri Light" w:hAnsi="Calibri Light" w:cs="Calibri Light"/>
          <w:color w:val="17365D"/>
          <w:kern w:val="0"/>
          <w:sz w:val="40"/>
          <w:szCs w:val="40"/>
          <w:lang w:eastAsia="en-GB" w:bidi="en-GB"/>
          <w14:ligatures w14:val="none"/>
        </w:rPr>
        <w:t>2</w:t>
      </w:r>
      <w:r w:rsidRPr="00047DF4">
        <w:rPr>
          <w:rFonts w:ascii="Calibri Light" w:eastAsia="Calibri Light" w:hAnsi="Calibri Light" w:cs="Calibri Light"/>
          <w:color w:val="17365D"/>
          <w:kern w:val="0"/>
          <w:sz w:val="40"/>
          <w:szCs w:val="40"/>
          <w:lang w:eastAsia="en-GB" w:bidi="en-GB"/>
          <w14:ligatures w14:val="none"/>
        </w:rPr>
        <w:t>1</w:t>
      </w:r>
      <w:r w:rsidRPr="00047DF4">
        <w:rPr>
          <w:rFonts w:ascii="Calibri Light" w:eastAsia="Calibri Light" w:hAnsi="Calibri Light" w:cs="Calibri Light"/>
          <w:color w:val="17365D"/>
          <w:spacing w:val="-6"/>
          <w:kern w:val="0"/>
          <w:sz w:val="40"/>
          <w:szCs w:val="40"/>
          <w:lang w:eastAsia="en-GB" w:bidi="en-GB"/>
          <w14:ligatures w14:val="none"/>
        </w:rPr>
        <w:t xml:space="preserve"> </w:t>
      </w:r>
      <w:r w:rsidRPr="00047DF4">
        <w:rPr>
          <w:rFonts w:ascii="Calibri Light" w:eastAsia="Calibri Light" w:hAnsi="Calibri Light" w:cs="Calibri Light"/>
          <w:color w:val="17365D"/>
          <w:kern w:val="0"/>
          <w:sz w:val="40"/>
          <w:szCs w:val="40"/>
          <w:lang w:eastAsia="en-GB" w:bidi="en-GB"/>
          <w14:ligatures w14:val="none"/>
        </w:rPr>
        <w:t>Census)</w:t>
      </w:r>
    </w:p>
    <w:p w14:paraId="64E3FDB6" w14:textId="77777777" w:rsidR="0005082A" w:rsidRPr="00047DF4" w:rsidRDefault="0005082A" w:rsidP="0005082A">
      <w:pPr>
        <w:widowControl w:val="0"/>
        <w:tabs>
          <w:tab w:val="left" w:pos="2970"/>
        </w:tabs>
        <w:autoSpaceDE w:val="0"/>
        <w:autoSpaceDN w:val="0"/>
        <w:spacing w:before="271" w:line="276" w:lineRule="auto"/>
        <w:ind w:left="720" w:right="390"/>
        <w:rPr>
          <w:rFonts w:ascii="Calibri Light" w:eastAsia="Calibri Light" w:hAnsi="Calibri Light" w:cs="Calibri Light"/>
          <w:kern w:val="0"/>
          <w:sz w:val="24"/>
          <w:szCs w:val="24"/>
          <w:lang w:eastAsia="en-GB" w:bidi="en-GB"/>
          <w14:ligatures w14:val="none"/>
        </w:rPr>
      </w:pPr>
      <w:proofErr w:type="spellStart"/>
      <w:r w:rsidRPr="00047DF4">
        <w:rPr>
          <w:rFonts w:ascii="Calibri Light" w:eastAsia="Calibri Light" w:hAnsi="Calibri Light" w:cs="Calibri Light"/>
          <w:kern w:val="0"/>
          <w:sz w:val="24"/>
          <w:szCs w:val="24"/>
          <w:lang w:eastAsia="en-GB" w:bidi="en-GB"/>
          <w14:ligatures w14:val="none"/>
        </w:rPr>
        <w:t>Bagworth</w:t>
      </w:r>
      <w:proofErr w:type="spellEnd"/>
      <w:r w:rsidRPr="00047DF4">
        <w:rPr>
          <w:rFonts w:ascii="Calibri Light" w:eastAsia="Calibri Light" w:hAnsi="Calibri Light" w:cs="Calibri Light"/>
          <w:kern w:val="0"/>
          <w:sz w:val="24"/>
          <w:szCs w:val="24"/>
          <w:lang w:eastAsia="en-GB" w:bidi="en-GB"/>
          <w14:ligatures w14:val="none"/>
        </w:rPr>
        <w:t>, Thornton and Stanton-under-Bardon are relatively small parishes situated in the Hinckley and Bosworth Borough.</w:t>
      </w:r>
    </w:p>
    <w:p w14:paraId="19890F41" w14:textId="77777777" w:rsidR="0005082A" w:rsidRPr="00047DF4" w:rsidRDefault="0005082A" w:rsidP="0005082A">
      <w:pPr>
        <w:widowControl w:val="0"/>
        <w:tabs>
          <w:tab w:val="left" w:pos="1260"/>
          <w:tab w:val="left" w:pos="2970"/>
        </w:tabs>
        <w:autoSpaceDE w:val="0"/>
        <w:autoSpaceDN w:val="0"/>
        <w:spacing w:before="200" w:line="276" w:lineRule="auto"/>
        <w:ind w:left="720" w:right="390"/>
        <w:rPr>
          <w:rFonts w:ascii="Calibri Light" w:eastAsia="Calibri Light" w:hAnsi="Calibri Light" w:cs="Calibri Light"/>
          <w:kern w:val="0"/>
          <w:sz w:val="24"/>
          <w:szCs w:val="24"/>
          <w:lang w:eastAsia="en-GB" w:bidi="en-GB"/>
          <w14:ligatures w14:val="none"/>
        </w:rPr>
      </w:pPr>
      <w:r w:rsidRPr="00047DF4">
        <w:rPr>
          <w:rFonts w:ascii="Calibri Light" w:eastAsia="Calibri Light" w:hAnsi="Calibri Light" w:cs="Calibri Light"/>
          <w:kern w:val="0"/>
          <w:sz w:val="24"/>
          <w:szCs w:val="24"/>
          <w:lang w:eastAsia="en-GB" w:bidi="en-GB"/>
          <w14:ligatures w14:val="none"/>
        </w:rPr>
        <w:t>At the time of the 20</w:t>
      </w:r>
      <w:r>
        <w:rPr>
          <w:rFonts w:ascii="Calibri Light" w:eastAsia="Calibri Light" w:hAnsi="Calibri Light" w:cs="Calibri Light"/>
          <w:kern w:val="0"/>
          <w:sz w:val="24"/>
          <w:szCs w:val="24"/>
          <w:lang w:eastAsia="en-GB" w:bidi="en-GB"/>
          <w14:ligatures w14:val="none"/>
        </w:rPr>
        <w:t>2</w:t>
      </w:r>
      <w:r w:rsidRPr="00047DF4">
        <w:rPr>
          <w:rFonts w:ascii="Calibri Light" w:eastAsia="Calibri Light" w:hAnsi="Calibri Light" w:cs="Calibri Light"/>
          <w:kern w:val="0"/>
          <w:sz w:val="24"/>
          <w:szCs w:val="24"/>
          <w:lang w:eastAsia="en-GB" w:bidi="en-GB"/>
          <w14:ligatures w14:val="none"/>
        </w:rPr>
        <w:t xml:space="preserve">1 Census, the </w:t>
      </w:r>
      <w:proofErr w:type="spellStart"/>
      <w:r w:rsidRPr="00047DF4">
        <w:rPr>
          <w:rFonts w:ascii="Calibri Light" w:eastAsia="Calibri Light" w:hAnsi="Calibri Light" w:cs="Calibri Light"/>
          <w:kern w:val="0"/>
          <w:sz w:val="24"/>
          <w:szCs w:val="24"/>
          <w:lang w:eastAsia="en-GB" w:bidi="en-GB"/>
          <w14:ligatures w14:val="none"/>
        </w:rPr>
        <w:t>Bagworth</w:t>
      </w:r>
      <w:proofErr w:type="spellEnd"/>
      <w:r w:rsidRPr="00047DF4">
        <w:rPr>
          <w:rFonts w:ascii="Calibri Light" w:eastAsia="Calibri Light" w:hAnsi="Calibri Light" w:cs="Calibri Light"/>
          <w:kern w:val="0"/>
          <w:sz w:val="24"/>
          <w:szCs w:val="24"/>
          <w:lang w:eastAsia="en-GB" w:bidi="en-GB"/>
          <w14:ligatures w14:val="none"/>
        </w:rPr>
        <w:t xml:space="preserve"> and Thornton Parish had an estimated total population of </w:t>
      </w:r>
      <w:r>
        <w:rPr>
          <w:rFonts w:ascii="Calibri Light" w:eastAsia="Calibri Light" w:hAnsi="Calibri Light" w:cs="Calibri Light"/>
          <w:kern w:val="0"/>
          <w:sz w:val="24"/>
          <w:szCs w:val="24"/>
          <w:lang w:eastAsia="en-GB" w:bidi="en-GB"/>
          <w14:ligatures w14:val="none"/>
        </w:rPr>
        <w:t>3,031</w:t>
      </w:r>
      <w:r w:rsidRPr="00047DF4">
        <w:rPr>
          <w:rFonts w:ascii="Calibri Light" w:eastAsia="Calibri Light" w:hAnsi="Calibri Light" w:cs="Calibri Light"/>
          <w:kern w:val="0"/>
          <w:sz w:val="24"/>
          <w:szCs w:val="24"/>
          <w:lang w:eastAsia="en-GB" w:bidi="en-GB"/>
          <w14:ligatures w14:val="none"/>
        </w:rPr>
        <w:t xml:space="preserve"> residents living in 1,</w:t>
      </w:r>
      <w:r>
        <w:rPr>
          <w:rFonts w:ascii="Calibri Light" w:eastAsia="Calibri Light" w:hAnsi="Calibri Light" w:cs="Calibri Light"/>
          <w:kern w:val="0"/>
          <w:sz w:val="24"/>
          <w:szCs w:val="24"/>
          <w:lang w:eastAsia="en-GB" w:bidi="en-GB"/>
          <w14:ligatures w14:val="none"/>
        </w:rPr>
        <w:t>500</w:t>
      </w:r>
      <w:r w:rsidRPr="00047DF4">
        <w:rPr>
          <w:rFonts w:ascii="Calibri Light" w:eastAsia="Calibri Light" w:hAnsi="Calibri Light" w:cs="Calibri Light"/>
          <w:kern w:val="0"/>
          <w:sz w:val="24"/>
          <w:szCs w:val="24"/>
          <w:lang w:eastAsia="en-GB" w:bidi="en-GB"/>
          <w14:ligatures w14:val="none"/>
        </w:rPr>
        <w:t xml:space="preserve"> households whereas the smaller parish of Stanton-under-Bardon recorded </w:t>
      </w:r>
      <w:r>
        <w:rPr>
          <w:rFonts w:ascii="Calibri Light" w:eastAsia="Calibri Light" w:hAnsi="Calibri Light" w:cs="Calibri Light"/>
          <w:kern w:val="0"/>
          <w:sz w:val="24"/>
          <w:szCs w:val="24"/>
          <w:lang w:eastAsia="en-GB" w:bidi="en-GB"/>
          <w14:ligatures w14:val="none"/>
        </w:rPr>
        <w:t>907</w:t>
      </w:r>
      <w:r w:rsidRPr="00047DF4">
        <w:rPr>
          <w:rFonts w:ascii="Calibri Light" w:eastAsia="Calibri Light" w:hAnsi="Calibri Light" w:cs="Calibri Light"/>
          <w:kern w:val="0"/>
          <w:sz w:val="24"/>
          <w:szCs w:val="24"/>
          <w:lang w:eastAsia="en-GB" w:bidi="en-GB"/>
          <w14:ligatures w14:val="none"/>
        </w:rPr>
        <w:t xml:space="preserve"> residents living in </w:t>
      </w:r>
      <w:r w:rsidRPr="00047DF4">
        <w:rPr>
          <w:rFonts w:ascii="Calibri Light" w:eastAsia="Calibri Light" w:hAnsi="Calibri Light" w:cs="Calibri Light"/>
          <w:kern w:val="0"/>
          <w:sz w:val="24"/>
          <w:szCs w:val="24"/>
          <w:highlight w:val="yellow"/>
          <w:lang w:eastAsia="en-GB" w:bidi="en-GB"/>
          <w14:ligatures w14:val="none"/>
        </w:rPr>
        <w:t>272</w:t>
      </w:r>
      <w:r w:rsidRPr="00047DF4">
        <w:rPr>
          <w:rFonts w:ascii="Calibri Light" w:eastAsia="Calibri Light" w:hAnsi="Calibri Light" w:cs="Calibri Light"/>
          <w:kern w:val="0"/>
          <w:sz w:val="24"/>
          <w:szCs w:val="24"/>
          <w:lang w:eastAsia="en-GB" w:bidi="en-GB"/>
          <w14:ligatures w14:val="none"/>
        </w:rPr>
        <w:t xml:space="preserve"> households. The </w:t>
      </w:r>
      <w:proofErr w:type="spellStart"/>
      <w:r w:rsidRPr="00047DF4">
        <w:rPr>
          <w:rFonts w:ascii="Calibri Light" w:eastAsia="Calibri Light" w:hAnsi="Calibri Light" w:cs="Calibri Light"/>
          <w:kern w:val="0"/>
          <w:sz w:val="24"/>
          <w:szCs w:val="24"/>
          <w:lang w:eastAsia="en-GB" w:bidi="en-GB"/>
          <w14:ligatures w14:val="none"/>
        </w:rPr>
        <w:t>Bagworth</w:t>
      </w:r>
      <w:proofErr w:type="spellEnd"/>
      <w:r w:rsidRPr="00047DF4">
        <w:rPr>
          <w:rFonts w:ascii="Calibri Light" w:eastAsia="Calibri Light" w:hAnsi="Calibri Light" w:cs="Calibri Light"/>
          <w:kern w:val="0"/>
          <w:sz w:val="24"/>
          <w:szCs w:val="24"/>
          <w:lang w:eastAsia="en-GB" w:bidi="en-GB"/>
          <w14:ligatures w14:val="none"/>
        </w:rPr>
        <w:t xml:space="preserve"> and Thornton</w:t>
      </w:r>
      <w:r w:rsidRPr="00047DF4">
        <w:rPr>
          <w:rFonts w:ascii="Calibri Light" w:eastAsia="Calibri Light" w:hAnsi="Calibri Light" w:cs="Calibri Light"/>
          <w:spacing w:val="-6"/>
          <w:kern w:val="0"/>
          <w:sz w:val="24"/>
          <w:szCs w:val="24"/>
          <w:lang w:eastAsia="en-GB" w:bidi="en-GB"/>
          <w14:ligatures w14:val="none"/>
        </w:rPr>
        <w:t xml:space="preserve"> </w:t>
      </w:r>
      <w:r w:rsidRPr="00047DF4">
        <w:rPr>
          <w:rFonts w:ascii="Calibri Light" w:eastAsia="Calibri Light" w:hAnsi="Calibri Light" w:cs="Calibri Light"/>
          <w:kern w:val="0"/>
          <w:sz w:val="24"/>
          <w:szCs w:val="24"/>
          <w:lang w:eastAsia="en-GB" w:bidi="en-GB"/>
          <w14:ligatures w14:val="none"/>
        </w:rPr>
        <w:t>Parish</w:t>
      </w:r>
      <w:r w:rsidRPr="00047DF4">
        <w:rPr>
          <w:rFonts w:ascii="Calibri Light" w:eastAsia="Calibri Light" w:hAnsi="Calibri Light" w:cs="Calibri Light"/>
          <w:spacing w:val="-8"/>
          <w:kern w:val="0"/>
          <w:sz w:val="24"/>
          <w:szCs w:val="24"/>
          <w:lang w:eastAsia="en-GB" w:bidi="en-GB"/>
          <w14:ligatures w14:val="none"/>
        </w:rPr>
        <w:t xml:space="preserve"> </w:t>
      </w:r>
      <w:r w:rsidRPr="00047DF4">
        <w:rPr>
          <w:rFonts w:ascii="Calibri Light" w:eastAsia="Calibri Light" w:hAnsi="Calibri Light" w:cs="Calibri Light"/>
          <w:kern w:val="0"/>
          <w:sz w:val="24"/>
          <w:szCs w:val="24"/>
          <w:lang w:eastAsia="en-GB" w:bidi="en-GB"/>
          <w14:ligatures w14:val="none"/>
        </w:rPr>
        <w:t>had</w:t>
      </w:r>
      <w:r w:rsidRPr="00047DF4">
        <w:rPr>
          <w:rFonts w:ascii="Calibri Light" w:eastAsia="Calibri Light" w:hAnsi="Calibri Light" w:cs="Calibri Light"/>
          <w:spacing w:val="-5"/>
          <w:kern w:val="0"/>
          <w:sz w:val="24"/>
          <w:szCs w:val="24"/>
          <w:lang w:eastAsia="en-GB" w:bidi="en-GB"/>
          <w14:ligatures w14:val="none"/>
        </w:rPr>
        <w:t xml:space="preserve"> </w:t>
      </w:r>
      <w:r w:rsidRPr="00047DF4">
        <w:rPr>
          <w:rFonts w:ascii="Calibri Light" w:eastAsia="Calibri Light" w:hAnsi="Calibri Light" w:cs="Calibri Light"/>
          <w:kern w:val="0"/>
          <w:sz w:val="24"/>
          <w:szCs w:val="24"/>
          <w:lang w:eastAsia="en-GB" w:bidi="en-GB"/>
          <w14:ligatures w14:val="none"/>
        </w:rPr>
        <w:t>a</w:t>
      </w:r>
      <w:r w:rsidRPr="00047DF4">
        <w:rPr>
          <w:rFonts w:ascii="Calibri Light" w:eastAsia="Calibri Light" w:hAnsi="Calibri Light" w:cs="Calibri Light"/>
          <w:spacing w:val="-6"/>
          <w:kern w:val="0"/>
          <w:sz w:val="24"/>
          <w:szCs w:val="24"/>
          <w:lang w:eastAsia="en-GB" w:bidi="en-GB"/>
          <w14:ligatures w14:val="none"/>
        </w:rPr>
        <w:t xml:space="preserve"> </w:t>
      </w:r>
      <w:r w:rsidRPr="00047DF4">
        <w:rPr>
          <w:rFonts w:ascii="Calibri Light" w:eastAsia="Calibri Light" w:hAnsi="Calibri Light" w:cs="Calibri Light"/>
          <w:kern w:val="0"/>
          <w:sz w:val="24"/>
          <w:szCs w:val="24"/>
          <w:lang w:eastAsia="en-GB" w:bidi="en-GB"/>
          <w14:ligatures w14:val="none"/>
        </w:rPr>
        <w:t>higher</w:t>
      </w:r>
      <w:r w:rsidRPr="00047DF4">
        <w:rPr>
          <w:rFonts w:ascii="Calibri Light" w:eastAsia="Calibri Light" w:hAnsi="Calibri Light" w:cs="Calibri Light"/>
          <w:spacing w:val="-4"/>
          <w:kern w:val="0"/>
          <w:sz w:val="24"/>
          <w:szCs w:val="24"/>
          <w:lang w:eastAsia="en-GB" w:bidi="en-GB"/>
          <w14:ligatures w14:val="none"/>
        </w:rPr>
        <w:t xml:space="preserve"> </w:t>
      </w:r>
      <w:r w:rsidRPr="00047DF4">
        <w:rPr>
          <w:rFonts w:ascii="Calibri Light" w:eastAsia="Calibri Light" w:hAnsi="Calibri Light" w:cs="Calibri Light"/>
          <w:kern w:val="0"/>
          <w:sz w:val="24"/>
          <w:szCs w:val="24"/>
          <w:lang w:eastAsia="en-GB" w:bidi="en-GB"/>
          <w14:ligatures w14:val="none"/>
        </w:rPr>
        <w:t>representation</w:t>
      </w:r>
      <w:r w:rsidRPr="00047DF4">
        <w:rPr>
          <w:rFonts w:ascii="Calibri Light" w:eastAsia="Calibri Light" w:hAnsi="Calibri Light" w:cs="Calibri Light"/>
          <w:spacing w:val="-7"/>
          <w:kern w:val="0"/>
          <w:sz w:val="24"/>
          <w:szCs w:val="24"/>
          <w:lang w:eastAsia="en-GB" w:bidi="en-GB"/>
          <w14:ligatures w14:val="none"/>
        </w:rPr>
        <w:t xml:space="preserve"> </w:t>
      </w:r>
      <w:r w:rsidRPr="00047DF4">
        <w:rPr>
          <w:rFonts w:ascii="Calibri Light" w:eastAsia="Calibri Light" w:hAnsi="Calibri Light" w:cs="Calibri Light"/>
          <w:kern w:val="0"/>
          <w:sz w:val="24"/>
          <w:szCs w:val="24"/>
          <w:lang w:eastAsia="en-GB" w:bidi="en-GB"/>
          <w14:ligatures w14:val="none"/>
        </w:rPr>
        <w:t>of</w:t>
      </w:r>
      <w:r w:rsidRPr="00047DF4">
        <w:rPr>
          <w:rFonts w:ascii="Calibri Light" w:eastAsia="Calibri Light" w:hAnsi="Calibri Light" w:cs="Calibri Light"/>
          <w:spacing w:val="-6"/>
          <w:kern w:val="0"/>
          <w:sz w:val="24"/>
          <w:szCs w:val="24"/>
          <w:lang w:eastAsia="en-GB" w:bidi="en-GB"/>
          <w14:ligatures w14:val="none"/>
        </w:rPr>
        <w:t xml:space="preserve"> </w:t>
      </w:r>
      <w:r w:rsidRPr="00047DF4">
        <w:rPr>
          <w:rFonts w:ascii="Calibri Light" w:eastAsia="Calibri Light" w:hAnsi="Calibri Light" w:cs="Calibri Light"/>
          <w:kern w:val="0"/>
          <w:sz w:val="24"/>
          <w:szCs w:val="24"/>
          <w:lang w:eastAsia="en-GB" w:bidi="en-GB"/>
          <w14:ligatures w14:val="none"/>
        </w:rPr>
        <w:t>younger</w:t>
      </w:r>
      <w:r w:rsidRPr="00047DF4">
        <w:rPr>
          <w:rFonts w:ascii="Calibri Light" w:eastAsia="Calibri Light" w:hAnsi="Calibri Light" w:cs="Calibri Light"/>
          <w:spacing w:val="-5"/>
          <w:kern w:val="0"/>
          <w:sz w:val="24"/>
          <w:szCs w:val="24"/>
          <w:lang w:eastAsia="en-GB" w:bidi="en-GB"/>
          <w14:ligatures w14:val="none"/>
        </w:rPr>
        <w:t xml:space="preserve"> </w:t>
      </w:r>
      <w:r w:rsidRPr="00047DF4">
        <w:rPr>
          <w:rFonts w:ascii="Calibri Light" w:eastAsia="Calibri Light" w:hAnsi="Calibri Light" w:cs="Calibri Light"/>
          <w:kern w:val="0"/>
          <w:sz w:val="24"/>
          <w:szCs w:val="24"/>
          <w:lang w:eastAsia="en-GB" w:bidi="en-GB"/>
          <w14:ligatures w14:val="none"/>
        </w:rPr>
        <w:t>residents</w:t>
      </w:r>
      <w:r w:rsidRPr="00047DF4">
        <w:rPr>
          <w:rFonts w:ascii="Calibri Light" w:eastAsia="Calibri Light" w:hAnsi="Calibri Light" w:cs="Calibri Light"/>
          <w:spacing w:val="-5"/>
          <w:kern w:val="0"/>
          <w:sz w:val="24"/>
          <w:szCs w:val="24"/>
          <w:lang w:eastAsia="en-GB" w:bidi="en-GB"/>
          <w14:ligatures w14:val="none"/>
        </w:rPr>
        <w:t xml:space="preserve"> </w:t>
      </w:r>
      <w:r w:rsidRPr="00047DF4">
        <w:rPr>
          <w:rFonts w:ascii="Calibri Light" w:eastAsia="Calibri Light" w:hAnsi="Calibri Light" w:cs="Calibri Light"/>
          <w:kern w:val="0"/>
          <w:sz w:val="24"/>
          <w:szCs w:val="24"/>
          <w:lang w:eastAsia="en-GB" w:bidi="en-GB"/>
          <w14:ligatures w14:val="none"/>
        </w:rPr>
        <w:t>and</w:t>
      </w:r>
      <w:r w:rsidRPr="00047DF4">
        <w:rPr>
          <w:rFonts w:ascii="Calibri Light" w:eastAsia="Calibri Light" w:hAnsi="Calibri Light" w:cs="Calibri Light"/>
          <w:spacing w:val="-9"/>
          <w:kern w:val="0"/>
          <w:sz w:val="24"/>
          <w:szCs w:val="24"/>
          <w:lang w:eastAsia="en-GB" w:bidi="en-GB"/>
          <w14:ligatures w14:val="none"/>
        </w:rPr>
        <w:t xml:space="preserve"> </w:t>
      </w:r>
      <w:r w:rsidRPr="00047DF4">
        <w:rPr>
          <w:rFonts w:ascii="Calibri Light" w:eastAsia="Calibri Light" w:hAnsi="Calibri Light" w:cs="Calibri Light"/>
          <w:kern w:val="0"/>
          <w:sz w:val="24"/>
          <w:szCs w:val="24"/>
          <w:lang w:eastAsia="en-GB" w:bidi="en-GB"/>
          <w14:ligatures w14:val="none"/>
        </w:rPr>
        <w:t>Stanton-under-Bardon displayed a higher-than-average proportion of residents aged 65 and</w:t>
      </w:r>
      <w:r w:rsidRPr="00047DF4">
        <w:rPr>
          <w:rFonts w:ascii="Calibri Light" w:eastAsia="Calibri Light" w:hAnsi="Calibri Light" w:cs="Calibri Light"/>
          <w:spacing w:val="-9"/>
          <w:kern w:val="0"/>
          <w:sz w:val="24"/>
          <w:szCs w:val="24"/>
          <w:lang w:eastAsia="en-GB" w:bidi="en-GB"/>
          <w14:ligatures w14:val="none"/>
        </w:rPr>
        <w:t xml:space="preserve"> </w:t>
      </w:r>
      <w:r w:rsidRPr="00047DF4">
        <w:rPr>
          <w:rFonts w:ascii="Calibri Light" w:eastAsia="Calibri Light" w:hAnsi="Calibri Light" w:cs="Calibri Light"/>
          <w:kern w:val="0"/>
          <w:sz w:val="24"/>
          <w:szCs w:val="24"/>
          <w:lang w:eastAsia="en-GB" w:bidi="en-GB"/>
          <w14:ligatures w14:val="none"/>
        </w:rPr>
        <w:t xml:space="preserve">over.  There has been significant population growth in </w:t>
      </w:r>
      <w:proofErr w:type="spellStart"/>
      <w:r w:rsidRPr="00047DF4">
        <w:rPr>
          <w:rFonts w:ascii="Calibri Light" w:eastAsia="Calibri Light" w:hAnsi="Calibri Light" w:cs="Calibri Light"/>
          <w:kern w:val="0"/>
          <w:sz w:val="24"/>
          <w:szCs w:val="24"/>
          <w:lang w:eastAsia="en-GB" w:bidi="en-GB"/>
          <w14:ligatures w14:val="none"/>
        </w:rPr>
        <w:t>Bagworth</w:t>
      </w:r>
      <w:proofErr w:type="spellEnd"/>
      <w:r w:rsidRPr="00047DF4">
        <w:rPr>
          <w:rFonts w:ascii="Calibri Light" w:eastAsia="Calibri Light" w:hAnsi="Calibri Light" w:cs="Calibri Light"/>
          <w:kern w:val="0"/>
          <w:sz w:val="24"/>
          <w:szCs w:val="24"/>
          <w:lang w:eastAsia="en-GB" w:bidi="en-GB"/>
          <w14:ligatures w14:val="none"/>
        </w:rPr>
        <w:t xml:space="preserve"> and Thornton with the number of residents increasing by around </w:t>
      </w:r>
      <w:r>
        <w:rPr>
          <w:rFonts w:ascii="Calibri Light" w:eastAsia="Calibri Light" w:hAnsi="Calibri Light" w:cs="Calibri Light"/>
          <w:kern w:val="0"/>
          <w:sz w:val="24"/>
          <w:szCs w:val="24"/>
          <w:lang w:eastAsia="en-GB" w:bidi="en-GB"/>
          <w14:ligatures w14:val="none"/>
        </w:rPr>
        <w:t>568</w:t>
      </w:r>
      <w:r w:rsidRPr="00047DF4">
        <w:rPr>
          <w:rFonts w:ascii="Calibri Light" w:eastAsia="Calibri Light" w:hAnsi="Calibri Light" w:cs="Calibri Light"/>
          <w:kern w:val="0"/>
          <w:sz w:val="24"/>
          <w:szCs w:val="24"/>
          <w:lang w:eastAsia="en-GB" w:bidi="en-GB"/>
          <w14:ligatures w14:val="none"/>
        </w:rPr>
        <w:t xml:space="preserve"> (+</w:t>
      </w:r>
      <w:r>
        <w:rPr>
          <w:rFonts w:ascii="Calibri Light" w:eastAsia="Calibri Light" w:hAnsi="Calibri Light" w:cs="Calibri Light"/>
          <w:kern w:val="0"/>
          <w:sz w:val="24"/>
          <w:szCs w:val="24"/>
          <w:lang w:eastAsia="en-GB" w:bidi="en-GB"/>
          <w14:ligatures w14:val="none"/>
        </w:rPr>
        <w:t>23</w:t>
      </w:r>
      <w:r w:rsidRPr="00047DF4">
        <w:rPr>
          <w:rFonts w:ascii="Calibri Light" w:eastAsia="Calibri Light" w:hAnsi="Calibri Light" w:cs="Calibri Light"/>
          <w:kern w:val="0"/>
          <w:sz w:val="24"/>
          <w:szCs w:val="24"/>
          <w:lang w:eastAsia="en-GB" w:bidi="en-GB"/>
          <w14:ligatures w14:val="none"/>
        </w:rPr>
        <w:t>%) between 20</w:t>
      </w:r>
      <w:r>
        <w:rPr>
          <w:rFonts w:ascii="Calibri Light" w:eastAsia="Calibri Light" w:hAnsi="Calibri Light" w:cs="Calibri Light"/>
          <w:kern w:val="0"/>
          <w:sz w:val="24"/>
          <w:szCs w:val="24"/>
          <w:lang w:eastAsia="en-GB" w:bidi="en-GB"/>
          <w14:ligatures w14:val="none"/>
        </w:rPr>
        <w:t>1</w:t>
      </w:r>
      <w:r w:rsidRPr="00047DF4">
        <w:rPr>
          <w:rFonts w:ascii="Calibri Light" w:eastAsia="Calibri Light" w:hAnsi="Calibri Light" w:cs="Calibri Light"/>
          <w:kern w:val="0"/>
          <w:sz w:val="24"/>
          <w:szCs w:val="24"/>
          <w:lang w:eastAsia="en-GB" w:bidi="en-GB"/>
          <w14:ligatures w14:val="none"/>
        </w:rPr>
        <w:t>1 and 20</w:t>
      </w:r>
      <w:r>
        <w:rPr>
          <w:rFonts w:ascii="Calibri Light" w:eastAsia="Calibri Light" w:hAnsi="Calibri Light" w:cs="Calibri Light"/>
          <w:kern w:val="0"/>
          <w:sz w:val="24"/>
          <w:szCs w:val="24"/>
          <w:lang w:eastAsia="en-GB" w:bidi="en-GB"/>
          <w14:ligatures w14:val="none"/>
        </w:rPr>
        <w:t>2</w:t>
      </w:r>
      <w:r w:rsidRPr="00047DF4">
        <w:rPr>
          <w:rFonts w:ascii="Calibri Light" w:eastAsia="Calibri Light" w:hAnsi="Calibri Light" w:cs="Calibri Light"/>
          <w:kern w:val="0"/>
          <w:sz w:val="24"/>
          <w:szCs w:val="24"/>
          <w:lang w:eastAsia="en-GB" w:bidi="en-GB"/>
          <w14:ligatures w14:val="none"/>
        </w:rPr>
        <w:t xml:space="preserve">1. During this period the number of dwellings went up by </w:t>
      </w:r>
      <w:r w:rsidRPr="00047DF4">
        <w:rPr>
          <w:rFonts w:ascii="Calibri Light" w:eastAsia="Calibri Light" w:hAnsi="Calibri Light" w:cs="Calibri Light"/>
          <w:kern w:val="0"/>
          <w:sz w:val="24"/>
          <w:szCs w:val="24"/>
          <w:highlight w:val="yellow"/>
          <w:lang w:eastAsia="en-GB" w:bidi="en-GB"/>
          <w14:ligatures w14:val="none"/>
        </w:rPr>
        <w:t>304 (+40%).</w:t>
      </w:r>
      <w:r w:rsidRPr="00047DF4">
        <w:rPr>
          <w:rFonts w:ascii="Calibri Light" w:eastAsia="Calibri Light" w:hAnsi="Calibri Light" w:cs="Calibri Light"/>
          <w:kern w:val="0"/>
          <w:sz w:val="24"/>
          <w:szCs w:val="24"/>
          <w:lang w:eastAsia="en-GB" w:bidi="en-GB"/>
          <w14:ligatures w14:val="none"/>
        </w:rPr>
        <w:t xml:space="preserve"> There is evidence of further housing growth having occurred since the last Census with </w:t>
      </w:r>
      <w:r w:rsidRPr="00047DF4">
        <w:rPr>
          <w:rFonts w:ascii="Calibri Light" w:eastAsia="Calibri Light" w:hAnsi="Calibri Light" w:cs="Calibri Light"/>
          <w:kern w:val="0"/>
          <w:sz w:val="24"/>
          <w:szCs w:val="24"/>
          <w:highlight w:val="yellow"/>
          <w:lang w:eastAsia="en-GB" w:bidi="en-GB"/>
          <w14:ligatures w14:val="none"/>
        </w:rPr>
        <w:t>49</w:t>
      </w:r>
      <w:r w:rsidRPr="00047DF4">
        <w:rPr>
          <w:rFonts w:ascii="Calibri Light" w:eastAsia="Calibri Light" w:hAnsi="Calibri Light" w:cs="Calibri Light"/>
          <w:kern w:val="0"/>
          <w:sz w:val="24"/>
          <w:szCs w:val="24"/>
          <w:lang w:eastAsia="en-GB" w:bidi="en-GB"/>
          <w14:ligatures w14:val="none"/>
        </w:rPr>
        <w:t xml:space="preserve"> new build sales recorded between </w:t>
      </w:r>
      <w:r w:rsidRPr="00047DF4">
        <w:rPr>
          <w:rFonts w:ascii="Calibri Light" w:eastAsia="Calibri Light" w:hAnsi="Calibri Light" w:cs="Calibri Light"/>
          <w:kern w:val="0"/>
          <w:sz w:val="24"/>
          <w:szCs w:val="24"/>
          <w:highlight w:val="yellow"/>
          <w:lang w:eastAsia="en-GB" w:bidi="en-GB"/>
          <w14:ligatures w14:val="none"/>
        </w:rPr>
        <w:t>2013 and 2016</w:t>
      </w:r>
      <w:r w:rsidRPr="00047DF4">
        <w:rPr>
          <w:rFonts w:ascii="Calibri Light" w:eastAsia="Calibri Light" w:hAnsi="Calibri Light" w:cs="Calibri Light"/>
          <w:kern w:val="0"/>
          <w:sz w:val="24"/>
          <w:szCs w:val="24"/>
          <w:lang w:eastAsia="en-GB" w:bidi="en-GB"/>
          <w14:ligatures w14:val="none"/>
        </w:rPr>
        <w:t xml:space="preserve">. As of December </w:t>
      </w:r>
      <w:r w:rsidRPr="00047DF4">
        <w:rPr>
          <w:rFonts w:ascii="Calibri Light" w:eastAsia="Calibri Light" w:hAnsi="Calibri Light" w:cs="Calibri Light"/>
          <w:kern w:val="0"/>
          <w:sz w:val="24"/>
          <w:szCs w:val="24"/>
          <w:highlight w:val="yellow"/>
          <w:lang w:eastAsia="en-GB" w:bidi="en-GB"/>
          <w14:ligatures w14:val="none"/>
        </w:rPr>
        <w:t>2019, the total is 1204.</w:t>
      </w:r>
    </w:p>
    <w:p w14:paraId="3A1AE5D0" w14:textId="77777777" w:rsidR="0005082A" w:rsidRDefault="0005082A" w:rsidP="0005082A">
      <w:pPr>
        <w:widowControl w:val="0"/>
        <w:tabs>
          <w:tab w:val="left" w:pos="2970"/>
        </w:tabs>
        <w:autoSpaceDE w:val="0"/>
        <w:autoSpaceDN w:val="0"/>
        <w:spacing w:before="202" w:line="276" w:lineRule="auto"/>
        <w:ind w:left="720" w:right="390"/>
        <w:rPr>
          <w:rFonts w:ascii="Calibri Light" w:eastAsia="Calibri Light" w:hAnsi="Calibri Light" w:cs="Calibri Light"/>
          <w:kern w:val="0"/>
          <w:sz w:val="24"/>
          <w:szCs w:val="24"/>
          <w:lang w:eastAsia="en-GB" w:bidi="en-GB"/>
          <w14:ligatures w14:val="none"/>
        </w:rPr>
      </w:pPr>
      <w:r w:rsidRPr="008C48AC">
        <w:rPr>
          <w:rFonts w:ascii="Calibri Light" w:eastAsia="Calibri Light" w:hAnsi="Calibri Light" w:cs="Calibri Light"/>
          <w:kern w:val="0"/>
          <w:sz w:val="24"/>
          <w:szCs w:val="24"/>
          <w:highlight w:val="yellow"/>
          <w:lang w:eastAsia="en-GB" w:bidi="en-GB"/>
          <w14:ligatures w14:val="none"/>
        </w:rPr>
        <w:t>It is interesting to note, that Stanton-under-Bardon’s population in 2011 was 634 and increased to 907 in 2021, an increase of 273 (43%).</w:t>
      </w:r>
    </w:p>
    <w:p w14:paraId="34EF350E" w14:textId="77777777" w:rsidR="0005082A" w:rsidRPr="00047DF4" w:rsidRDefault="0005082A" w:rsidP="0005082A">
      <w:pPr>
        <w:widowControl w:val="0"/>
        <w:tabs>
          <w:tab w:val="left" w:pos="2970"/>
        </w:tabs>
        <w:autoSpaceDE w:val="0"/>
        <w:autoSpaceDN w:val="0"/>
        <w:spacing w:before="202" w:line="276" w:lineRule="auto"/>
        <w:ind w:left="720" w:right="390"/>
        <w:rPr>
          <w:rFonts w:ascii="Calibri Light" w:eastAsia="Calibri Light" w:hAnsi="Calibri Light" w:cs="Calibri Light"/>
          <w:kern w:val="0"/>
          <w:sz w:val="24"/>
          <w:szCs w:val="24"/>
          <w:lang w:eastAsia="en-GB" w:bidi="en-GB"/>
          <w14:ligatures w14:val="none"/>
        </w:rPr>
      </w:pPr>
      <w:r w:rsidRPr="00047DF4">
        <w:rPr>
          <w:rFonts w:ascii="Calibri Light" w:eastAsia="Calibri Light" w:hAnsi="Calibri Light" w:cs="Calibri Light"/>
          <w:kern w:val="0"/>
          <w:sz w:val="24"/>
          <w:szCs w:val="24"/>
          <w:lang w:eastAsia="en-GB" w:bidi="en-GB"/>
          <w14:ligatures w14:val="none"/>
        </w:rPr>
        <w:t xml:space="preserve">Census data implies there was little change in the number of households in Stanton-under- Bardon between </w:t>
      </w:r>
      <w:r w:rsidRPr="00047DF4">
        <w:rPr>
          <w:rFonts w:ascii="Calibri Light" w:eastAsia="Calibri Light" w:hAnsi="Calibri Light" w:cs="Calibri Light"/>
          <w:kern w:val="0"/>
          <w:sz w:val="24"/>
          <w:szCs w:val="24"/>
          <w:highlight w:val="yellow"/>
          <w:lang w:eastAsia="en-GB" w:bidi="en-GB"/>
          <w14:ligatures w14:val="none"/>
        </w:rPr>
        <w:t>20</w:t>
      </w:r>
      <w:r w:rsidRPr="008C5068">
        <w:rPr>
          <w:rFonts w:ascii="Calibri Light" w:eastAsia="Calibri Light" w:hAnsi="Calibri Light" w:cs="Calibri Light"/>
          <w:kern w:val="0"/>
          <w:sz w:val="24"/>
          <w:szCs w:val="24"/>
          <w:highlight w:val="yellow"/>
          <w:lang w:eastAsia="en-GB" w:bidi="en-GB"/>
          <w14:ligatures w14:val="none"/>
        </w:rPr>
        <w:t>1</w:t>
      </w:r>
      <w:r w:rsidRPr="00047DF4">
        <w:rPr>
          <w:rFonts w:ascii="Calibri Light" w:eastAsia="Calibri Light" w:hAnsi="Calibri Light" w:cs="Calibri Light"/>
          <w:kern w:val="0"/>
          <w:sz w:val="24"/>
          <w:szCs w:val="24"/>
          <w:highlight w:val="yellow"/>
          <w:lang w:eastAsia="en-GB" w:bidi="en-GB"/>
          <w14:ligatures w14:val="none"/>
        </w:rPr>
        <w:t>1 and 20</w:t>
      </w:r>
      <w:r w:rsidRPr="008C5068">
        <w:rPr>
          <w:rFonts w:ascii="Calibri Light" w:eastAsia="Calibri Light" w:hAnsi="Calibri Light" w:cs="Calibri Light"/>
          <w:kern w:val="0"/>
          <w:sz w:val="24"/>
          <w:szCs w:val="24"/>
          <w:highlight w:val="yellow"/>
          <w:lang w:eastAsia="en-GB" w:bidi="en-GB"/>
          <w14:ligatures w14:val="none"/>
        </w:rPr>
        <w:t>2</w:t>
      </w:r>
      <w:r w:rsidRPr="00047DF4">
        <w:rPr>
          <w:rFonts w:ascii="Calibri Light" w:eastAsia="Calibri Light" w:hAnsi="Calibri Light" w:cs="Calibri Light"/>
          <w:kern w:val="0"/>
          <w:sz w:val="24"/>
          <w:szCs w:val="24"/>
          <w:highlight w:val="yellow"/>
          <w:lang w:eastAsia="en-GB" w:bidi="en-GB"/>
          <w14:ligatures w14:val="none"/>
        </w:rPr>
        <w:t>1</w:t>
      </w:r>
      <w:r w:rsidRPr="00047DF4">
        <w:rPr>
          <w:rFonts w:ascii="Calibri Light" w:eastAsia="Calibri Light" w:hAnsi="Calibri Light" w:cs="Calibri Light"/>
          <w:kern w:val="0"/>
          <w:sz w:val="24"/>
          <w:szCs w:val="24"/>
          <w:lang w:eastAsia="en-GB" w:bidi="en-GB"/>
          <w14:ligatures w14:val="none"/>
        </w:rPr>
        <w:t>. However, Land Registry data indicates a high number (47) of new build sales were recorded in the parish between 2013 and 2015. The local population is likely to have increased during this time.</w:t>
      </w:r>
    </w:p>
    <w:p w14:paraId="57D3216B" w14:textId="77777777" w:rsidR="0005082A" w:rsidRPr="00047DF4" w:rsidRDefault="0005082A" w:rsidP="0005082A">
      <w:pPr>
        <w:widowControl w:val="0"/>
        <w:tabs>
          <w:tab w:val="left" w:pos="2970"/>
        </w:tabs>
        <w:autoSpaceDE w:val="0"/>
        <w:autoSpaceDN w:val="0"/>
        <w:spacing w:before="198" w:line="276" w:lineRule="auto"/>
        <w:ind w:left="720" w:right="390"/>
        <w:rPr>
          <w:rFonts w:ascii="Calibri Light" w:eastAsia="Calibri Light" w:hAnsi="Calibri Light" w:cs="Calibri Light"/>
          <w:kern w:val="0"/>
          <w:sz w:val="24"/>
          <w:szCs w:val="24"/>
          <w:lang w:eastAsia="en-GB" w:bidi="en-GB"/>
          <w14:ligatures w14:val="none"/>
        </w:rPr>
      </w:pPr>
      <w:r w:rsidRPr="00047DF4">
        <w:rPr>
          <w:rFonts w:ascii="Calibri Light" w:eastAsia="Calibri Light" w:hAnsi="Calibri Light" w:cs="Calibri Light"/>
          <w:kern w:val="0"/>
          <w:sz w:val="24"/>
          <w:szCs w:val="24"/>
          <w:lang w:eastAsia="en-GB" w:bidi="en-GB"/>
          <w14:ligatures w14:val="none"/>
        </w:rPr>
        <w:t>There is evidence that the population is ageing, and in line with national trends, the local population is likely to get older as average life expectancy continues to rise.  Home ownership is very high and there is a high proportion of detached housing and under-occupied dwellings particularly those with 4 or more bedrooms. There is evidence of a high number of new housing developments in both parishes with 423 new build residential sales registered with the Land Registry between 1995 and 2017, the majority being detached dwellings.</w:t>
      </w:r>
    </w:p>
    <w:p w14:paraId="59B5DCB6" w14:textId="77777777" w:rsidR="0005082A" w:rsidRPr="00047DF4" w:rsidRDefault="0005082A" w:rsidP="0005082A"/>
    <w:p w14:paraId="03A029CF" w14:textId="3801176B" w:rsidR="0005082A" w:rsidRDefault="0005082A">
      <w:r>
        <w:br w:type="page"/>
      </w:r>
    </w:p>
    <w:p w14:paraId="1CEC3672" w14:textId="5D11B069" w:rsidR="00CD6AB8" w:rsidRDefault="0005082A">
      <w:r>
        <w:rPr>
          <w:noProof/>
        </w:rPr>
        <w:lastRenderedPageBreak/>
        <mc:AlternateContent>
          <mc:Choice Requires="wps">
            <w:drawing>
              <wp:inline distT="0" distB="0" distL="0" distR="0" wp14:anchorId="306BE1CC" wp14:editId="6AD7E875">
                <wp:extent cx="304800" cy="304800"/>
                <wp:effectExtent l="0" t="0" r="0" b="0"/>
                <wp:docPr id="1353678396" name="Rectangle 1" descr="Image previe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3562B7C" id="Rectangle 1" o:spid="_x0000_s1026" alt="Image previe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Pr>
          <w:noProof/>
        </w:rPr>
        <w:drawing>
          <wp:inline distT="0" distB="0" distL="0" distR="0" wp14:anchorId="3BE43294" wp14:editId="3EA21BCA">
            <wp:extent cx="5731510" cy="6941185"/>
            <wp:effectExtent l="0" t="0" r="2540" b="0"/>
            <wp:docPr id="832948805" name="Picture 2" descr="A map of a c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2948805" name="Picture 2" descr="A map of a city&#10;&#10;AI-generated content may be incorrect."/>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31510" cy="6941185"/>
                    </a:xfrm>
                    <a:prstGeom prst="rect">
                      <a:avLst/>
                    </a:prstGeom>
                  </pic:spPr>
                </pic:pic>
              </a:graphicData>
            </a:graphic>
          </wp:inline>
        </w:drawing>
      </w:r>
      <w:r>
        <w:rPr>
          <w:noProof/>
        </w:rPr>
        <w:lastRenderedPageBreak/>
        <w:drawing>
          <wp:inline distT="0" distB="0" distL="0" distR="0" wp14:anchorId="4B827592" wp14:editId="28B4E42B">
            <wp:extent cx="5731510" cy="5238750"/>
            <wp:effectExtent l="0" t="0" r="2540" b="0"/>
            <wp:docPr id="1530940235" name="Picture 3" descr="A map of a c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940235" name="Picture 3" descr="A map of a city&#10;&#10;AI-generated content may be incorrect."/>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31510" cy="5238750"/>
                    </a:xfrm>
                    <a:prstGeom prst="rect">
                      <a:avLst/>
                    </a:prstGeom>
                  </pic:spPr>
                </pic:pic>
              </a:graphicData>
            </a:graphic>
          </wp:inline>
        </w:drawing>
      </w:r>
      <w:r>
        <w:rPr>
          <w:noProof/>
        </w:rPr>
        <w:lastRenderedPageBreak/>
        <w:drawing>
          <wp:inline distT="0" distB="0" distL="0" distR="0" wp14:anchorId="4D586561" wp14:editId="3064DE67">
            <wp:extent cx="5731510" cy="7007860"/>
            <wp:effectExtent l="0" t="0" r="2540" b="2540"/>
            <wp:docPr id="162360055" name="Picture 4" descr="A map of a c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360055" name="Picture 4" descr="A map of a city&#10;&#10;AI-generated content may be incorrect."/>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31510" cy="7007860"/>
                    </a:xfrm>
                    <a:prstGeom prst="rect">
                      <a:avLst/>
                    </a:prstGeom>
                  </pic:spPr>
                </pic:pic>
              </a:graphicData>
            </a:graphic>
          </wp:inline>
        </w:drawing>
      </w:r>
      <w:r>
        <w:rPr>
          <w:noProof/>
        </w:rPr>
        <w:lastRenderedPageBreak/>
        <w:drawing>
          <wp:inline distT="0" distB="0" distL="0" distR="0" wp14:anchorId="0AA98EC1" wp14:editId="4058F968">
            <wp:extent cx="5731510" cy="5047615"/>
            <wp:effectExtent l="0" t="0" r="2540" b="635"/>
            <wp:docPr id="32850923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509239" name="Picture 5"/>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5047615"/>
                    </a:xfrm>
                    <a:prstGeom prst="rect">
                      <a:avLst/>
                    </a:prstGeom>
                  </pic:spPr>
                </pic:pic>
              </a:graphicData>
            </a:graphic>
          </wp:inline>
        </w:drawing>
      </w:r>
    </w:p>
    <w:sectPr w:rsidR="00CD6AB8">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915037D"/>
    <w:multiLevelType w:val="multilevel"/>
    <w:tmpl w:val="EE6AE8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FCE7A7B"/>
    <w:multiLevelType w:val="multilevel"/>
    <w:tmpl w:val="13DC59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1416273">
    <w:abstractNumId w:val="0"/>
  </w:num>
  <w:num w:numId="2" w16cid:durableId="170428010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082A"/>
    <w:rsid w:val="0005082A"/>
    <w:rsid w:val="00CD6AB8"/>
    <w:rsid w:val="00D50120"/>
    <w:rsid w:val="00D872E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73E9D6"/>
  <w15:chartTrackingRefBased/>
  <w15:docId w15:val="{48044B47-8BF7-43CE-BAD4-ACA27AB577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5082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05082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05082A"/>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05082A"/>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5082A"/>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5082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5082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5082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5082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5082A"/>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05082A"/>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05082A"/>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5082A"/>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5082A"/>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5082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5082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5082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5082A"/>
    <w:rPr>
      <w:rFonts w:eastAsiaTheme="majorEastAsia" w:cstheme="majorBidi"/>
      <w:color w:val="272727" w:themeColor="text1" w:themeTint="D8"/>
    </w:rPr>
  </w:style>
  <w:style w:type="paragraph" w:styleId="Title">
    <w:name w:val="Title"/>
    <w:basedOn w:val="Normal"/>
    <w:next w:val="Normal"/>
    <w:link w:val="TitleChar"/>
    <w:uiPriority w:val="10"/>
    <w:qFormat/>
    <w:rsid w:val="0005082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5082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5082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5082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5082A"/>
    <w:pPr>
      <w:spacing w:before="160"/>
      <w:jc w:val="center"/>
    </w:pPr>
    <w:rPr>
      <w:i/>
      <w:iCs/>
      <w:color w:val="404040" w:themeColor="text1" w:themeTint="BF"/>
    </w:rPr>
  </w:style>
  <w:style w:type="character" w:customStyle="1" w:styleId="QuoteChar">
    <w:name w:val="Quote Char"/>
    <w:basedOn w:val="DefaultParagraphFont"/>
    <w:link w:val="Quote"/>
    <w:uiPriority w:val="29"/>
    <w:rsid w:val="0005082A"/>
    <w:rPr>
      <w:i/>
      <w:iCs/>
      <w:color w:val="404040" w:themeColor="text1" w:themeTint="BF"/>
    </w:rPr>
  </w:style>
  <w:style w:type="paragraph" w:styleId="ListParagraph">
    <w:name w:val="List Paragraph"/>
    <w:basedOn w:val="Normal"/>
    <w:uiPriority w:val="34"/>
    <w:qFormat/>
    <w:rsid w:val="0005082A"/>
    <w:pPr>
      <w:ind w:left="720"/>
      <w:contextualSpacing/>
    </w:pPr>
  </w:style>
  <w:style w:type="character" w:styleId="IntenseEmphasis">
    <w:name w:val="Intense Emphasis"/>
    <w:basedOn w:val="DefaultParagraphFont"/>
    <w:uiPriority w:val="21"/>
    <w:qFormat/>
    <w:rsid w:val="0005082A"/>
    <w:rPr>
      <w:i/>
      <w:iCs/>
      <w:color w:val="0F4761" w:themeColor="accent1" w:themeShade="BF"/>
    </w:rPr>
  </w:style>
  <w:style w:type="paragraph" w:styleId="IntenseQuote">
    <w:name w:val="Intense Quote"/>
    <w:basedOn w:val="Normal"/>
    <w:next w:val="Normal"/>
    <w:link w:val="IntenseQuoteChar"/>
    <w:uiPriority w:val="30"/>
    <w:qFormat/>
    <w:rsid w:val="0005082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5082A"/>
    <w:rPr>
      <w:i/>
      <w:iCs/>
      <w:color w:val="0F4761" w:themeColor="accent1" w:themeShade="BF"/>
    </w:rPr>
  </w:style>
  <w:style w:type="character" w:styleId="IntenseReference">
    <w:name w:val="Intense Reference"/>
    <w:basedOn w:val="DefaultParagraphFont"/>
    <w:uiPriority w:val="32"/>
    <w:qFormat/>
    <w:rsid w:val="0005082A"/>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73</TotalTime>
  <Pages>6</Pages>
  <Words>481</Words>
  <Characters>2585</Characters>
  <Application>Microsoft Office Word</Application>
  <DocSecurity>0</DocSecurity>
  <Lines>41</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Joanne Lowe</dc:creator>
  <cp:keywords/>
  <dc:description/>
  <cp:lastModifiedBy>Joanne Lowe</cp:lastModifiedBy>
  <cp:revision>1</cp:revision>
  <dcterms:created xsi:type="dcterms:W3CDTF">2025-10-06T09:09:00Z</dcterms:created>
  <dcterms:modified xsi:type="dcterms:W3CDTF">2025-10-06T10:28:00Z</dcterms:modified>
</cp:coreProperties>
</file>