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25C1C" w14:textId="77777777" w:rsidR="002B23F8" w:rsidRPr="00D67767" w:rsidRDefault="002B23F8" w:rsidP="002B23F8">
      <w:pPr>
        <w:jc w:val="center"/>
        <w:rPr>
          <w:bCs/>
        </w:rPr>
      </w:pPr>
      <w:r w:rsidRPr="00D67767">
        <w:rPr>
          <w:bCs/>
          <w:noProof/>
        </w:rPr>
        <w:drawing>
          <wp:inline distT="0" distB="0" distL="0" distR="0" wp14:anchorId="5287AB02" wp14:editId="39B8498A">
            <wp:extent cx="1678075" cy="691695"/>
            <wp:effectExtent l="0" t="0" r="0" b="0"/>
            <wp:docPr id="808209076"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09076" name="Picture 1" descr="A logo with tre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7515" cy="695586"/>
                    </a:xfrm>
                    <a:prstGeom prst="rect">
                      <a:avLst/>
                    </a:prstGeom>
                  </pic:spPr>
                </pic:pic>
              </a:graphicData>
            </a:graphic>
          </wp:inline>
        </w:drawing>
      </w:r>
    </w:p>
    <w:p w14:paraId="61F46940" w14:textId="77777777" w:rsidR="002B23F8" w:rsidRPr="00D67767" w:rsidRDefault="002B23F8" w:rsidP="002B23F8">
      <w:pPr>
        <w:rPr>
          <w:bCs/>
        </w:rPr>
      </w:pPr>
    </w:p>
    <w:p w14:paraId="7876963C" w14:textId="0978EE72" w:rsidR="002B23F8" w:rsidRPr="00D67767" w:rsidRDefault="002B23F8" w:rsidP="002B23F8">
      <w:pPr>
        <w:rPr>
          <w:bCs/>
        </w:rPr>
      </w:pPr>
      <w:r w:rsidRPr="00D67767">
        <w:rPr>
          <w:bCs/>
        </w:rPr>
        <w:t xml:space="preserve">Date: </w:t>
      </w:r>
      <w:r w:rsidRPr="00D67767">
        <w:rPr>
          <w:bCs/>
        </w:rPr>
        <w:tab/>
      </w:r>
      <w:r>
        <w:rPr>
          <w:bCs/>
        </w:rPr>
        <w:t>16</w:t>
      </w:r>
      <w:r w:rsidRPr="002B23F8">
        <w:rPr>
          <w:bCs/>
          <w:vertAlign w:val="superscript"/>
        </w:rPr>
        <w:t>th</w:t>
      </w:r>
      <w:r>
        <w:rPr>
          <w:bCs/>
        </w:rPr>
        <w:t xml:space="preserve"> May </w:t>
      </w:r>
      <w:r w:rsidRPr="00D67767">
        <w:rPr>
          <w:bCs/>
        </w:rPr>
        <w:t>2025</w:t>
      </w:r>
      <w:r w:rsidRPr="00D67767">
        <w:rPr>
          <w:bCs/>
        </w:rPr>
        <w:tab/>
      </w:r>
      <w:r>
        <w:rPr>
          <w:bCs/>
        </w:rPr>
        <w:t xml:space="preserve"> </w:t>
      </w:r>
      <w:r>
        <w:rPr>
          <w:bCs/>
        </w:rPr>
        <w:tab/>
      </w:r>
      <w:r w:rsidRPr="00D67767">
        <w:rPr>
          <w:bCs/>
        </w:rPr>
        <w:t xml:space="preserve">To: </w:t>
      </w:r>
      <w:r>
        <w:rPr>
          <w:bCs/>
        </w:rPr>
        <w:tab/>
      </w:r>
      <w:r w:rsidRPr="00D67767">
        <w:rPr>
          <w:bCs/>
        </w:rPr>
        <w:t xml:space="preserve">All </w:t>
      </w:r>
      <w:r>
        <w:rPr>
          <w:bCs/>
        </w:rPr>
        <w:t>VHMC Committee Members</w:t>
      </w:r>
      <w:r w:rsidRPr="00D67767">
        <w:rPr>
          <w:bCs/>
        </w:rPr>
        <w:tab/>
        <w:t>From:  Parish Clerk</w:t>
      </w:r>
    </w:p>
    <w:p w14:paraId="786E81C4" w14:textId="77777777" w:rsidR="002B23F8" w:rsidRDefault="002B23F8" w:rsidP="002B23F8">
      <w:pPr>
        <w:rPr>
          <w:bCs/>
        </w:rPr>
      </w:pPr>
    </w:p>
    <w:p w14:paraId="68160313" w14:textId="15B064CD" w:rsidR="002B23F8" w:rsidRPr="002B23F8" w:rsidRDefault="002B23F8" w:rsidP="002B23F8">
      <w:pPr>
        <w:ind w:left="2160" w:hanging="2160"/>
      </w:pPr>
      <w:r w:rsidRPr="00D67767">
        <w:rPr>
          <w:bCs/>
        </w:rPr>
        <w:t xml:space="preserve">Report to Council: </w:t>
      </w:r>
      <w:r w:rsidRPr="00D67767">
        <w:rPr>
          <w:bCs/>
        </w:rPr>
        <w:tab/>
      </w:r>
      <w:r w:rsidRPr="002B23F8">
        <w:rPr>
          <w:b/>
          <w:bCs/>
        </w:rPr>
        <w:t>Requirement for Deposit to Commence Film Screenings at Stanton under Bardon Village Hall</w:t>
      </w:r>
    </w:p>
    <w:p w14:paraId="47FDCC87" w14:textId="77777777" w:rsidR="002B23F8" w:rsidRDefault="002B23F8" w:rsidP="002B23F8">
      <w:pPr>
        <w:rPr>
          <w:b/>
          <w:bCs/>
        </w:rPr>
      </w:pPr>
    </w:p>
    <w:p w14:paraId="2699B59F" w14:textId="77777777" w:rsidR="002B23F8" w:rsidRDefault="002B23F8" w:rsidP="002B23F8">
      <w:r w:rsidRPr="002B23F8">
        <w:t xml:space="preserve">This report outlines the need for an initial deposit to be paid to </w:t>
      </w:r>
      <w:proofErr w:type="spellStart"/>
      <w:r w:rsidRPr="002B23F8">
        <w:rPr>
          <w:b/>
          <w:bCs/>
        </w:rPr>
        <w:t>Filmbankmedia</w:t>
      </w:r>
      <w:proofErr w:type="spellEnd"/>
      <w:r w:rsidRPr="002B23F8">
        <w:t xml:space="preserve"> </w:t>
      </w:r>
      <w:proofErr w:type="gramStart"/>
      <w:r w:rsidRPr="002B23F8">
        <w:t>in order to</w:t>
      </w:r>
      <w:proofErr w:type="gramEnd"/>
      <w:r w:rsidRPr="002B23F8">
        <w:t xml:space="preserve"> begin screening films at Stanton under Bardon Village Hall as part of the Stanton Cinema Club</w:t>
      </w:r>
      <w:r>
        <w:t xml:space="preserve"> project</w:t>
      </w:r>
      <w:r w:rsidRPr="002B23F8">
        <w:t>.</w:t>
      </w:r>
    </w:p>
    <w:p w14:paraId="0EF3AB32" w14:textId="77777777" w:rsidR="002B23F8" w:rsidRDefault="002B23F8" w:rsidP="002B23F8"/>
    <w:p w14:paraId="3BEC16DC" w14:textId="5850E694" w:rsidR="002B23F8" w:rsidRPr="002B23F8" w:rsidRDefault="002B23F8" w:rsidP="002B23F8">
      <w:r w:rsidRPr="002B23F8">
        <w:rPr>
          <w:b/>
          <w:bCs/>
        </w:rPr>
        <w:t>Background</w:t>
      </w:r>
      <w:r w:rsidRPr="002B23F8">
        <w:br/>
        <w:t xml:space="preserve">To legally screen films to the public, a licence must be obtained from an authorised distributor. </w:t>
      </w:r>
      <w:proofErr w:type="spellStart"/>
      <w:r w:rsidRPr="002B23F8">
        <w:t>Filmbankmedia</w:t>
      </w:r>
      <w:proofErr w:type="spellEnd"/>
      <w:r w:rsidRPr="002B23F8">
        <w:t xml:space="preserve"> was selected because it provides the broadest and most accessible licensing solution for public film screenings in community venues. It offers the </w:t>
      </w:r>
      <w:r w:rsidRPr="002B23F8">
        <w:rPr>
          <w:b/>
          <w:bCs/>
        </w:rPr>
        <w:t>Single Title Screening Licence (STSL)</w:t>
      </w:r>
      <w:r w:rsidRPr="002B23F8">
        <w:t xml:space="preserve"> model, which allows </w:t>
      </w:r>
      <w:proofErr w:type="spellStart"/>
      <w:r>
        <w:t>the</w:t>
      </w:r>
      <w:proofErr w:type="spellEnd"/>
      <w:r>
        <w:t xml:space="preserve"> Committee </w:t>
      </w:r>
      <w:r w:rsidRPr="002B23F8">
        <w:t xml:space="preserve">to book individual films on a pay-per-use basis, making it highly flexible and cost-efficient for occasional or pilot events. </w:t>
      </w:r>
      <w:proofErr w:type="spellStart"/>
      <w:r w:rsidRPr="002B23F8">
        <w:t>Filmbankmedia</w:t>
      </w:r>
      <w:proofErr w:type="spellEnd"/>
      <w:r w:rsidRPr="002B23F8">
        <w:t xml:space="preserve"> also represents </w:t>
      </w:r>
      <w:r w:rsidRPr="002B23F8">
        <w:rPr>
          <w:b/>
          <w:bCs/>
        </w:rPr>
        <w:t>major film studios</w:t>
      </w:r>
      <w:r w:rsidRPr="002B23F8">
        <w:t xml:space="preserve"> including Warner Bros., Sony, Universal, and StudioCanal — ensuring access to </w:t>
      </w:r>
      <w:r w:rsidRPr="002B23F8">
        <w:rPr>
          <w:b/>
          <w:bCs/>
        </w:rPr>
        <w:t>popular mainstream films</w:t>
      </w:r>
      <w:r w:rsidRPr="002B23F8">
        <w:t>, recent releases, and family-friendly titles likely to draw community interest. The simplicity of their online booking system, combined with their reputation in the community cinema sector, makes them the most practical and reliable option for our needs.</w:t>
      </w:r>
    </w:p>
    <w:p w14:paraId="42EF7D5D" w14:textId="77777777" w:rsidR="002B23F8" w:rsidRDefault="002B23F8" w:rsidP="002B23F8">
      <w:pPr>
        <w:rPr>
          <w:b/>
          <w:bCs/>
        </w:rPr>
      </w:pPr>
    </w:p>
    <w:p w14:paraId="02C43DA2" w14:textId="61025C86" w:rsidR="002B23F8" w:rsidRPr="002B23F8" w:rsidRDefault="002B23F8" w:rsidP="002B23F8">
      <w:r w:rsidRPr="002B23F8">
        <w:rPr>
          <w:b/>
          <w:bCs/>
        </w:rPr>
        <w:t>Deposit Requirement</w:t>
      </w:r>
      <w:r w:rsidRPr="002B23F8">
        <w:br/>
      </w:r>
      <w:proofErr w:type="spellStart"/>
      <w:r w:rsidRPr="002B23F8">
        <w:t>Filmbankmedia</w:t>
      </w:r>
      <w:proofErr w:type="spellEnd"/>
      <w:r w:rsidRPr="002B23F8">
        <w:t xml:space="preserve"> requires a refundable deposit to open an account for new customers. This deposit acts as security for bookings and enables access to their film catalogue and booking platform.</w:t>
      </w:r>
      <w:r>
        <w:t xml:space="preserve"> To confirm – it is not </w:t>
      </w:r>
      <w:r w:rsidRPr="002B23F8">
        <w:t>a fee, and the amount will be returned upon account closure, provided the account is in good standing.</w:t>
      </w:r>
    </w:p>
    <w:p w14:paraId="3AD86E7F" w14:textId="77777777" w:rsidR="002B23F8" w:rsidRDefault="002B23F8" w:rsidP="002B23F8">
      <w:pPr>
        <w:rPr>
          <w:b/>
          <w:bCs/>
        </w:rPr>
      </w:pPr>
    </w:p>
    <w:p w14:paraId="03F7E83F" w14:textId="68D7D377" w:rsidR="002B23F8" w:rsidRPr="002B23F8" w:rsidRDefault="002B23F8" w:rsidP="002B23F8">
      <w:pPr>
        <w:rPr>
          <w:b/>
          <w:bCs/>
        </w:rPr>
      </w:pPr>
      <w:r w:rsidRPr="002B23F8">
        <w:rPr>
          <w:b/>
          <w:bCs/>
        </w:rPr>
        <w:t>Example Screening Costs</w:t>
      </w:r>
    </w:p>
    <w:p w14:paraId="5895707B" w14:textId="77777777" w:rsidR="002B23F8" w:rsidRPr="002B23F8" w:rsidRDefault="002B23F8" w:rsidP="002B23F8">
      <w:proofErr w:type="spellStart"/>
      <w:r w:rsidRPr="002B23F8">
        <w:t>Filmbankmedia</w:t>
      </w:r>
      <w:proofErr w:type="spellEnd"/>
      <w:r w:rsidRPr="002B23F8">
        <w:t xml:space="preserve"> operates on a </w:t>
      </w:r>
      <w:r w:rsidRPr="002B23F8">
        <w:rPr>
          <w:b/>
          <w:bCs/>
        </w:rPr>
        <w:t>Single Title Screening Licence (STSL)</w:t>
      </w:r>
      <w:r w:rsidRPr="002B23F8">
        <w:t xml:space="preserve"> model for community screenings, allowing films to be hired individually without a long-term contract.</w:t>
      </w:r>
    </w:p>
    <w:p w14:paraId="78091657" w14:textId="77777777" w:rsidR="002B23F8" w:rsidRPr="002B23F8" w:rsidRDefault="002B23F8" w:rsidP="002B23F8">
      <w:pPr>
        <w:numPr>
          <w:ilvl w:val="0"/>
          <w:numId w:val="1"/>
        </w:numPr>
      </w:pPr>
      <w:r w:rsidRPr="002B23F8">
        <w:rPr>
          <w:b/>
          <w:bCs/>
        </w:rPr>
        <w:t>Standard Licence Fee</w:t>
      </w:r>
      <w:r w:rsidRPr="002B23F8">
        <w:t>:</w:t>
      </w:r>
    </w:p>
    <w:p w14:paraId="0FAB0AE2" w14:textId="77777777" w:rsidR="002B23F8" w:rsidRPr="002B23F8" w:rsidRDefault="002B23F8" w:rsidP="002B23F8">
      <w:pPr>
        <w:numPr>
          <w:ilvl w:val="1"/>
          <w:numId w:val="1"/>
        </w:numPr>
      </w:pPr>
      <w:r w:rsidRPr="002B23F8">
        <w:t xml:space="preserve">£83 + VAT (total £99.60) </w:t>
      </w:r>
      <w:r w:rsidRPr="002B23F8">
        <w:rPr>
          <w:i/>
          <w:iCs/>
        </w:rPr>
        <w:t>or</w:t>
      </w:r>
      <w:r w:rsidRPr="002B23F8">
        <w:t xml:space="preserve"> 35% of box office income — whichever is greater.</w:t>
      </w:r>
    </w:p>
    <w:p w14:paraId="2FCD3C92" w14:textId="77777777" w:rsidR="002B23F8" w:rsidRPr="002B23F8" w:rsidRDefault="002B23F8" w:rsidP="002B23F8">
      <w:pPr>
        <w:numPr>
          <w:ilvl w:val="1"/>
          <w:numId w:val="1"/>
        </w:numPr>
      </w:pPr>
      <w:r w:rsidRPr="002B23F8">
        <w:t>Example:</w:t>
      </w:r>
    </w:p>
    <w:p w14:paraId="6F9976EA" w14:textId="77777777" w:rsidR="002B23F8" w:rsidRPr="002B23F8" w:rsidRDefault="002B23F8" w:rsidP="002B23F8">
      <w:pPr>
        <w:numPr>
          <w:ilvl w:val="2"/>
          <w:numId w:val="1"/>
        </w:numPr>
      </w:pPr>
      <w:r w:rsidRPr="002B23F8">
        <w:t>If we sell 30 tickets at £4 each = £120 gross income.</w:t>
      </w:r>
    </w:p>
    <w:p w14:paraId="6D73F2F4" w14:textId="77777777" w:rsidR="002B23F8" w:rsidRPr="002B23F8" w:rsidRDefault="002B23F8" w:rsidP="002B23F8">
      <w:pPr>
        <w:numPr>
          <w:ilvl w:val="2"/>
          <w:numId w:val="1"/>
        </w:numPr>
      </w:pPr>
      <w:r w:rsidRPr="002B23F8">
        <w:lastRenderedPageBreak/>
        <w:t xml:space="preserve">35% of £120 = £42 → </w:t>
      </w:r>
      <w:proofErr w:type="spellStart"/>
      <w:r w:rsidRPr="002B23F8">
        <w:t>Filmbank</w:t>
      </w:r>
      <w:proofErr w:type="spellEnd"/>
      <w:r w:rsidRPr="002B23F8">
        <w:t xml:space="preserve"> would charge £99.60 (the minimum flat fee).</w:t>
      </w:r>
    </w:p>
    <w:p w14:paraId="143C75E7" w14:textId="77777777" w:rsidR="002B23F8" w:rsidRPr="002B23F8" w:rsidRDefault="002B23F8" w:rsidP="002B23F8">
      <w:pPr>
        <w:numPr>
          <w:ilvl w:val="2"/>
          <w:numId w:val="1"/>
        </w:numPr>
      </w:pPr>
      <w:r w:rsidRPr="002B23F8">
        <w:t>If we sold 80 tickets at £5 = £400 gross income. 35% of £400 = £140, so the higher fee would apply.</w:t>
      </w:r>
    </w:p>
    <w:p w14:paraId="6E83CAC0" w14:textId="77777777" w:rsidR="002B23F8" w:rsidRPr="002B23F8" w:rsidRDefault="002B23F8" w:rsidP="002B23F8">
      <w:r w:rsidRPr="002B23F8">
        <w:pict w14:anchorId="0989B532">
          <v:rect id="_x0000_i1050" style="width:0;height:1.5pt" o:hralign="center" o:hrstd="t" o:hr="t" fillcolor="#a0a0a0" stroked="f"/>
        </w:pict>
      </w:r>
    </w:p>
    <w:p w14:paraId="51060B8E" w14:textId="77777777" w:rsidR="002B23F8" w:rsidRPr="002B23F8" w:rsidRDefault="002B23F8" w:rsidP="002B23F8">
      <w:pPr>
        <w:rPr>
          <w:b/>
          <w:bCs/>
        </w:rPr>
      </w:pPr>
      <w:r w:rsidRPr="002B23F8">
        <w:rPr>
          <w:b/>
          <w:bCs/>
        </w:rPr>
        <w:t>Ticket Sales &amp; Break-Even Analysis</w:t>
      </w:r>
    </w:p>
    <w:p w14:paraId="6FF61E53" w14:textId="77777777" w:rsidR="002B23F8" w:rsidRPr="002B23F8" w:rsidRDefault="002B23F8" w:rsidP="002B23F8">
      <w:r w:rsidRPr="002B23F8">
        <w:t xml:space="preserve">Assuming </w:t>
      </w:r>
      <w:r w:rsidRPr="002B23F8">
        <w:rPr>
          <w:b/>
          <w:bCs/>
        </w:rPr>
        <w:t>£5 per ticket</w:t>
      </w:r>
      <w:r w:rsidRPr="002B23F8">
        <w:t xml:space="preserve">, and using the </w:t>
      </w:r>
      <w:r w:rsidRPr="002B23F8">
        <w:rPr>
          <w:b/>
          <w:bCs/>
        </w:rPr>
        <w:t>£99.60 minimum fee</w:t>
      </w:r>
      <w:r w:rsidRPr="002B23F8">
        <w:t>, we’d need to sell:</w:t>
      </w:r>
    </w:p>
    <w:p w14:paraId="4FF64AE4" w14:textId="77777777" w:rsidR="002B23F8" w:rsidRPr="002B23F8" w:rsidRDefault="002B23F8" w:rsidP="002B23F8">
      <w:pPr>
        <w:numPr>
          <w:ilvl w:val="0"/>
          <w:numId w:val="2"/>
        </w:numPr>
      </w:pPr>
      <w:r w:rsidRPr="002B23F8">
        <w:rPr>
          <w:b/>
          <w:bCs/>
        </w:rPr>
        <w:t>20 tickets</w:t>
      </w:r>
      <w:r w:rsidRPr="002B23F8">
        <w:t xml:space="preserve"> to cover the licence cost alone (20 x £5 = £100).</w:t>
      </w:r>
    </w:p>
    <w:p w14:paraId="36A3E6AB" w14:textId="77777777" w:rsidR="002B23F8" w:rsidRPr="002B23F8" w:rsidRDefault="002B23F8" w:rsidP="002B23F8">
      <w:r w:rsidRPr="002B23F8">
        <w:t>Other expenses to consider:</w:t>
      </w:r>
    </w:p>
    <w:p w14:paraId="48D4FFCB" w14:textId="7D7F47C9" w:rsidR="002B23F8" w:rsidRPr="002B23F8" w:rsidRDefault="002B23F8" w:rsidP="002B23F8">
      <w:pPr>
        <w:numPr>
          <w:ilvl w:val="0"/>
          <w:numId w:val="3"/>
        </w:numPr>
      </w:pPr>
      <w:r w:rsidRPr="002B23F8">
        <w:t>Refreshments and extras (optional): £30–£50 per event</w:t>
      </w:r>
      <w:r>
        <w:t xml:space="preserve"> – Glynis from the Community Café is happy to help</w:t>
      </w:r>
    </w:p>
    <w:p w14:paraId="2E65E823" w14:textId="098A8414" w:rsidR="002B23F8" w:rsidRPr="002B23F8" w:rsidRDefault="002B23F8" w:rsidP="002B23F8">
      <w:pPr>
        <w:numPr>
          <w:ilvl w:val="0"/>
          <w:numId w:val="3"/>
        </w:numPr>
      </w:pPr>
      <w:r w:rsidRPr="002B23F8">
        <w:t>Marketing/printing materials: £10–£20 per event</w:t>
      </w:r>
      <w:r>
        <w:t xml:space="preserve"> – Glynis has put the Council in contact with a printer in Braunstone who can print A5 leaflets very cheaply</w:t>
      </w:r>
    </w:p>
    <w:p w14:paraId="797AD05C" w14:textId="77777777" w:rsidR="002B23F8" w:rsidRDefault="002B23F8" w:rsidP="002B23F8">
      <w:pPr>
        <w:rPr>
          <w:b/>
          <w:bCs/>
        </w:rPr>
      </w:pPr>
    </w:p>
    <w:p w14:paraId="28E73591" w14:textId="77777777" w:rsidR="002B23F8" w:rsidRDefault="002B23F8" w:rsidP="002B23F8">
      <w:r w:rsidRPr="002B23F8">
        <w:rPr>
          <w:b/>
          <w:bCs/>
        </w:rPr>
        <w:t>Target Audience:</w:t>
      </w:r>
      <w:r w:rsidRPr="002B23F8">
        <w:br/>
      </w:r>
    </w:p>
    <w:p w14:paraId="60D26D4D" w14:textId="4FEB4100" w:rsidR="002B23F8" w:rsidRPr="002B23F8" w:rsidRDefault="002B23F8" w:rsidP="002B23F8">
      <w:r w:rsidRPr="002B23F8">
        <w:t xml:space="preserve">To comfortably cover costs and build a sustainable model, we should aim to sell </w:t>
      </w:r>
      <w:r w:rsidRPr="002B23F8">
        <w:rPr>
          <w:b/>
          <w:bCs/>
        </w:rPr>
        <w:t>30–40 tickets per screening</w:t>
      </w:r>
      <w:r w:rsidRPr="002B23F8">
        <w:t>, which would generate £150–£200 in gross income, leaving room for modest reinvestment</w:t>
      </w:r>
      <w:r>
        <w:t xml:space="preserve"> for future films.</w:t>
      </w:r>
    </w:p>
    <w:p w14:paraId="03B81551" w14:textId="77777777" w:rsidR="002B23F8" w:rsidRPr="002B23F8" w:rsidRDefault="002B23F8" w:rsidP="002B23F8">
      <w:r w:rsidRPr="002B23F8">
        <w:pict w14:anchorId="02F8ED8C">
          <v:rect id="_x0000_i1051" style="width:0;height:1.5pt" o:hralign="center" o:hrstd="t" o:hr="t" fillcolor="#a0a0a0" stroked="f"/>
        </w:pict>
      </w:r>
    </w:p>
    <w:p w14:paraId="48167EF2" w14:textId="3200B483" w:rsidR="002B23F8" w:rsidRPr="002B23F8" w:rsidRDefault="002B23F8" w:rsidP="002B23F8">
      <w:pPr>
        <w:rPr>
          <w:b/>
          <w:bCs/>
        </w:rPr>
      </w:pPr>
      <w:r>
        <w:rPr>
          <w:b/>
          <w:bCs/>
        </w:rPr>
        <w:t xml:space="preserve">Unique Selling Points of a </w:t>
      </w:r>
      <w:r w:rsidRPr="002B23F8">
        <w:rPr>
          <w:b/>
          <w:bCs/>
        </w:rPr>
        <w:t>Community Cinema</w:t>
      </w:r>
    </w:p>
    <w:p w14:paraId="42DF013F" w14:textId="003F9B97" w:rsidR="002B23F8" w:rsidRPr="002B23F8" w:rsidRDefault="002B23F8" w:rsidP="002B23F8">
      <w:r>
        <w:t xml:space="preserve">The obvious treat to delivering a community cinema is the competition with </w:t>
      </w:r>
      <w:r w:rsidRPr="002B23F8">
        <w:t>home streaming</w:t>
      </w:r>
      <w:r>
        <w:t xml:space="preserve"> and therefore the </w:t>
      </w:r>
      <w:r w:rsidRPr="002B23F8">
        <w:rPr>
          <w:i/>
          <w:iCs/>
        </w:rPr>
        <w:t>experience</w:t>
      </w:r>
      <w:r w:rsidRPr="002B23F8">
        <w:t xml:space="preserve"> </w:t>
      </w:r>
      <w:r>
        <w:t xml:space="preserve">is just as important as the film. </w:t>
      </w:r>
      <w:r w:rsidRPr="002B23F8">
        <w:t>Ideas to make screenings feel special include:</w:t>
      </w:r>
    </w:p>
    <w:p w14:paraId="7C321DF7" w14:textId="77777777" w:rsidR="002B23F8" w:rsidRPr="002B23F8" w:rsidRDefault="002B23F8" w:rsidP="002B23F8">
      <w:pPr>
        <w:numPr>
          <w:ilvl w:val="0"/>
          <w:numId w:val="4"/>
        </w:numPr>
      </w:pPr>
      <w:r w:rsidRPr="002B23F8">
        <w:rPr>
          <w:b/>
          <w:bCs/>
        </w:rPr>
        <w:t>Ice Cream Interludes</w:t>
      </w:r>
      <w:r w:rsidRPr="002B23F8">
        <w:t xml:space="preserve"> – traditional cinema-style interval with locally sourced or vintage-style refreshments.</w:t>
      </w:r>
    </w:p>
    <w:p w14:paraId="29B47E2C" w14:textId="77777777" w:rsidR="002B23F8" w:rsidRPr="002B23F8" w:rsidRDefault="002B23F8" w:rsidP="002B23F8">
      <w:pPr>
        <w:numPr>
          <w:ilvl w:val="0"/>
          <w:numId w:val="4"/>
        </w:numPr>
      </w:pPr>
      <w:r w:rsidRPr="002B23F8">
        <w:rPr>
          <w:b/>
          <w:bCs/>
        </w:rPr>
        <w:t>Comfy Seating Options</w:t>
      </w:r>
      <w:r w:rsidRPr="002B23F8">
        <w:t xml:space="preserve"> – bean bags, rugs, or themed décor for family screenings or relaxed film nights.</w:t>
      </w:r>
    </w:p>
    <w:p w14:paraId="0C593820" w14:textId="39FA8250" w:rsidR="002B23F8" w:rsidRPr="002B23F8" w:rsidRDefault="002B23F8" w:rsidP="002B23F8">
      <w:pPr>
        <w:numPr>
          <w:ilvl w:val="0"/>
          <w:numId w:val="4"/>
        </w:numPr>
      </w:pPr>
      <w:r w:rsidRPr="002B23F8">
        <w:rPr>
          <w:b/>
          <w:bCs/>
        </w:rPr>
        <w:t>Competitions &amp; Quizzes</w:t>
      </w:r>
      <w:r w:rsidRPr="002B23F8">
        <w:t xml:space="preserve"> – film-related </w:t>
      </w:r>
      <w:r w:rsidR="00663697">
        <w:t xml:space="preserve">competitions such as golden tickets / design a poster / </w:t>
      </w:r>
      <w:r w:rsidRPr="002B23F8">
        <w:t>costume contests</w:t>
      </w:r>
      <w:r w:rsidR="00663697">
        <w:t xml:space="preserve"> / bring your teddy</w:t>
      </w:r>
      <w:r w:rsidRPr="002B23F8">
        <w:t xml:space="preserve"> or raffle prizes to engage the audience.</w:t>
      </w:r>
    </w:p>
    <w:p w14:paraId="6104246F" w14:textId="77777777" w:rsidR="002B23F8" w:rsidRPr="002B23F8" w:rsidRDefault="002B23F8" w:rsidP="002B23F8">
      <w:r w:rsidRPr="002B23F8">
        <w:pict w14:anchorId="22BDD80C">
          <v:rect id="_x0000_i1052" style="width:0;height:1.5pt" o:hralign="center" o:hrstd="t" o:hr="t" fillcolor="#a0a0a0" stroked="f"/>
        </w:pict>
      </w:r>
    </w:p>
    <w:p w14:paraId="76F6A2F8" w14:textId="77777777" w:rsidR="002B23F8" w:rsidRPr="002B23F8" w:rsidRDefault="002B23F8" w:rsidP="002B23F8">
      <w:pPr>
        <w:rPr>
          <w:b/>
          <w:bCs/>
        </w:rPr>
      </w:pPr>
      <w:r w:rsidRPr="002B23F8">
        <w:rPr>
          <w:b/>
          <w:bCs/>
        </w:rPr>
        <w:t>Recommendation</w:t>
      </w:r>
    </w:p>
    <w:p w14:paraId="63F46ECD" w14:textId="2D217DFE" w:rsidR="00CD6AB8" w:rsidRDefault="002B23F8">
      <w:r w:rsidRPr="002B23F8">
        <w:t xml:space="preserve">It is recommended that the Committee approves payment of the required deposit to </w:t>
      </w:r>
      <w:proofErr w:type="spellStart"/>
      <w:r w:rsidRPr="002B23F8">
        <w:t>Filmbankmedia</w:t>
      </w:r>
      <w:proofErr w:type="spellEnd"/>
      <w:r w:rsidRPr="002B23F8">
        <w:t xml:space="preserve"> to enable the creation of a new community cinema programme under the Stanton Cinema Club. The flexibility of per-film licensing</w:t>
      </w:r>
      <w:r w:rsidR="00663697">
        <w:t xml:space="preserve"> with us having complete control of what and where</w:t>
      </w:r>
      <w:r w:rsidRPr="002B23F8">
        <w:t xml:space="preserve">, combined with the potential to create memorable and </w:t>
      </w:r>
      <w:r w:rsidR="00663697">
        <w:t>community-</w:t>
      </w:r>
      <w:proofErr w:type="gramStart"/>
      <w:r w:rsidR="00663697">
        <w:t xml:space="preserve">centred  </w:t>
      </w:r>
      <w:r w:rsidRPr="002B23F8">
        <w:t>experiences</w:t>
      </w:r>
      <w:proofErr w:type="gramEnd"/>
      <w:r w:rsidRPr="002B23F8">
        <w:t xml:space="preserve">, makes this a low-risk, high-impact initiative for the </w:t>
      </w:r>
      <w:r w:rsidR="00663697">
        <w:t>VH</w:t>
      </w:r>
      <w:r w:rsidRPr="002B23F8">
        <w:t>.</w:t>
      </w:r>
    </w:p>
    <w:sectPr w:rsidR="00CD6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8B3"/>
    <w:multiLevelType w:val="multilevel"/>
    <w:tmpl w:val="DF123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AB4981"/>
    <w:multiLevelType w:val="multilevel"/>
    <w:tmpl w:val="5952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A523E"/>
    <w:multiLevelType w:val="multilevel"/>
    <w:tmpl w:val="9C66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D5367"/>
    <w:multiLevelType w:val="multilevel"/>
    <w:tmpl w:val="DDA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AA4B38"/>
    <w:multiLevelType w:val="multilevel"/>
    <w:tmpl w:val="EA7E9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776B4"/>
    <w:multiLevelType w:val="multilevel"/>
    <w:tmpl w:val="5A1A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57A73"/>
    <w:multiLevelType w:val="multilevel"/>
    <w:tmpl w:val="DDA0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E86BA5"/>
    <w:multiLevelType w:val="multilevel"/>
    <w:tmpl w:val="E9E8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806E76"/>
    <w:multiLevelType w:val="multilevel"/>
    <w:tmpl w:val="EB2C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630196">
    <w:abstractNumId w:val="4"/>
  </w:num>
  <w:num w:numId="2" w16cid:durableId="1256205586">
    <w:abstractNumId w:val="6"/>
  </w:num>
  <w:num w:numId="3" w16cid:durableId="221252259">
    <w:abstractNumId w:val="5"/>
  </w:num>
  <w:num w:numId="4" w16cid:durableId="1051347372">
    <w:abstractNumId w:val="3"/>
  </w:num>
  <w:num w:numId="5" w16cid:durableId="1728530601">
    <w:abstractNumId w:val="0"/>
  </w:num>
  <w:num w:numId="6" w16cid:durableId="1051005628">
    <w:abstractNumId w:val="2"/>
  </w:num>
  <w:num w:numId="7" w16cid:durableId="1215654652">
    <w:abstractNumId w:val="8"/>
  </w:num>
  <w:num w:numId="8" w16cid:durableId="517040244">
    <w:abstractNumId w:val="1"/>
  </w:num>
  <w:num w:numId="9" w16cid:durableId="289629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F8"/>
    <w:rsid w:val="00057B0D"/>
    <w:rsid w:val="002B23F8"/>
    <w:rsid w:val="00663697"/>
    <w:rsid w:val="00CD6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7F44"/>
  <w15:chartTrackingRefBased/>
  <w15:docId w15:val="{1926B382-56B3-4848-9EB3-A1AF878A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3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3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3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3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3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3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3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3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3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3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3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3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3F8"/>
    <w:rPr>
      <w:rFonts w:eastAsiaTheme="majorEastAsia" w:cstheme="majorBidi"/>
      <w:color w:val="272727" w:themeColor="text1" w:themeTint="D8"/>
    </w:rPr>
  </w:style>
  <w:style w:type="paragraph" w:styleId="Title">
    <w:name w:val="Title"/>
    <w:basedOn w:val="Normal"/>
    <w:next w:val="Normal"/>
    <w:link w:val="TitleChar"/>
    <w:uiPriority w:val="10"/>
    <w:qFormat/>
    <w:rsid w:val="002B23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3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3F8"/>
    <w:pPr>
      <w:spacing w:before="160"/>
      <w:jc w:val="center"/>
    </w:pPr>
    <w:rPr>
      <w:i/>
      <w:iCs/>
      <w:color w:val="404040" w:themeColor="text1" w:themeTint="BF"/>
    </w:rPr>
  </w:style>
  <w:style w:type="character" w:customStyle="1" w:styleId="QuoteChar">
    <w:name w:val="Quote Char"/>
    <w:basedOn w:val="DefaultParagraphFont"/>
    <w:link w:val="Quote"/>
    <w:uiPriority w:val="29"/>
    <w:rsid w:val="002B23F8"/>
    <w:rPr>
      <w:i/>
      <w:iCs/>
      <w:color w:val="404040" w:themeColor="text1" w:themeTint="BF"/>
    </w:rPr>
  </w:style>
  <w:style w:type="paragraph" w:styleId="ListParagraph">
    <w:name w:val="List Paragraph"/>
    <w:basedOn w:val="Normal"/>
    <w:uiPriority w:val="34"/>
    <w:qFormat/>
    <w:rsid w:val="002B23F8"/>
    <w:pPr>
      <w:ind w:left="720"/>
      <w:contextualSpacing/>
    </w:pPr>
  </w:style>
  <w:style w:type="character" w:styleId="IntenseEmphasis">
    <w:name w:val="Intense Emphasis"/>
    <w:basedOn w:val="DefaultParagraphFont"/>
    <w:uiPriority w:val="21"/>
    <w:qFormat/>
    <w:rsid w:val="002B23F8"/>
    <w:rPr>
      <w:i/>
      <w:iCs/>
      <w:color w:val="0F4761" w:themeColor="accent1" w:themeShade="BF"/>
    </w:rPr>
  </w:style>
  <w:style w:type="paragraph" w:styleId="IntenseQuote">
    <w:name w:val="Intense Quote"/>
    <w:basedOn w:val="Normal"/>
    <w:next w:val="Normal"/>
    <w:link w:val="IntenseQuoteChar"/>
    <w:uiPriority w:val="30"/>
    <w:qFormat/>
    <w:rsid w:val="002B2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3F8"/>
    <w:rPr>
      <w:i/>
      <w:iCs/>
      <w:color w:val="0F4761" w:themeColor="accent1" w:themeShade="BF"/>
    </w:rPr>
  </w:style>
  <w:style w:type="character" w:styleId="IntenseReference">
    <w:name w:val="Intense Reference"/>
    <w:basedOn w:val="DefaultParagraphFont"/>
    <w:uiPriority w:val="32"/>
    <w:qFormat/>
    <w:rsid w:val="002B23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08768">
      <w:bodyDiv w:val="1"/>
      <w:marLeft w:val="0"/>
      <w:marRight w:val="0"/>
      <w:marTop w:val="0"/>
      <w:marBottom w:val="0"/>
      <w:divBdr>
        <w:top w:val="none" w:sz="0" w:space="0" w:color="auto"/>
        <w:left w:val="none" w:sz="0" w:space="0" w:color="auto"/>
        <w:bottom w:val="none" w:sz="0" w:space="0" w:color="auto"/>
        <w:right w:val="none" w:sz="0" w:space="0" w:color="auto"/>
      </w:divBdr>
      <w:divsChild>
        <w:div w:id="1982730829">
          <w:marLeft w:val="0"/>
          <w:marRight w:val="0"/>
          <w:marTop w:val="0"/>
          <w:marBottom w:val="0"/>
          <w:divBdr>
            <w:top w:val="none" w:sz="0" w:space="0" w:color="auto"/>
            <w:left w:val="none" w:sz="0" w:space="0" w:color="auto"/>
            <w:bottom w:val="none" w:sz="0" w:space="0" w:color="auto"/>
            <w:right w:val="none" w:sz="0" w:space="0" w:color="auto"/>
          </w:divBdr>
          <w:divsChild>
            <w:div w:id="2134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2052">
      <w:bodyDiv w:val="1"/>
      <w:marLeft w:val="0"/>
      <w:marRight w:val="0"/>
      <w:marTop w:val="0"/>
      <w:marBottom w:val="0"/>
      <w:divBdr>
        <w:top w:val="none" w:sz="0" w:space="0" w:color="auto"/>
        <w:left w:val="none" w:sz="0" w:space="0" w:color="auto"/>
        <w:bottom w:val="none" w:sz="0" w:space="0" w:color="auto"/>
        <w:right w:val="none" w:sz="0" w:space="0" w:color="auto"/>
      </w:divBdr>
    </w:div>
    <w:div w:id="1294210452">
      <w:bodyDiv w:val="1"/>
      <w:marLeft w:val="0"/>
      <w:marRight w:val="0"/>
      <w:marTop w:val="0"/>
      <w:marBottom w:val="0"/>
      <w:divBdr>
        <w:top w:val="none" w:sz="0" w:space="0" w:color="auto"/>
        <w:left w:val="none" w:sz="0" w:space="0" w:color="auto"/>
        <w:bottom w:val="none" w:sz="0" w:space="0" w:color="auto"/>
        <w:right w:val="none" w:sz="0" w:space="0" w:color="auto"/>
      </w:divBdr>
      <w:divsChild>
        <w:div w:id="161356617">
          <w:marLeft w:val="0"/>
          <w:marRight w:val="0"/>
          <w:marTop w:val="0"/>
          <w:marBottom w:val="0"/>
          <w:divBdr>
            <w:top w:val="none" w:sz="0" w:space="0" w:color="auto"/>
            <w:left w:val="none" w:sz="0" w:space="0" w:color="auto"/>
            <w:bottom w:val="none" w:sz="0" w:space="0" w:color="auto"/>
            <w:right w:val="none" w:sz="0" w:space="0" w:color="auto"/>
          </w:divBdr>
          <w:divsChild>
            <w:div w:id="10556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6825">
      <w:bodyDiv w:val="1"/>
      <w:marLeft w:val="0"/>
      <w:marRight w:val="0"/>
      <w:marTop w:val="0"/>
      <w:marBottom w:val="0"/>
      <w:divBdr>
        <w:top w:val="none" w:sz="0" w:space="0" w:color="auto"/>
        <w:left w:val="none" w:sz="0" w:space="0" w:color="auto"/>
        <w:bottom w:val="none" w:sz="0" w:space="0" w:color="auto"/>
        <w:right w:val="none" w:sz="0" w:space="0" w:color="auto"/>
      </w:divBdr>
    </w:div>
    <w:div w:id="1893542046">
      <w:bodyDiv w:val="1"/>
      <w:marLeft w:val="0"/>
      <w:marRight w:val="0"/>
      <w:marTop w:val="0"/>
      <w:marBottom w:val="0"/>
      <w:divBdr>
        <w:top w:val="none" w:sz="0" w:space="0" w:color="auto"/>
        <w:left w:val="none" w:sz="0" w:space="0" w:color="auto"/>
        <w:bottom w:val="none" w:sz="0" w:space="0" w:color="auto"/>
        <w:right w:val="none" w:sz="0" w:space="0" w:color="auto"/>
      </w:divBdr>
    </w:div>
    <w:div w:id="210097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1</cp:revision>
  <dcterms:created xsi:type="dcterms:W3CDTF">2025-05-16T21:59:00Z</dcterms:created>
  <dcterms:modified xsi:type="dcterms:W3CDTF">2025-05-16T22:12:00Z</dcterms:modified>
</cp:coreProperties>
</file>