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orsiva" w:hAnsi="Corsiva" w:cs="Corsiva" w:eastAsia="Corsiva"/>
          <w:b/>
          <w:color w:val="7030A0"/>
          <w:spacing w:val="0"/>
          <w:position w:val="0"/>
          <w:sz w:val="48"/>
          <w:shd w:fill="auto" w:val="clear"/>
        </w:rPr>
      </w:pPr>
      <w:r>
        <w:rPr>
          <w:rFonts w:ascii="Corsiva" w:hAnsi="Corsiva" w:cs="Corsiva" w:eastAsia="Corsiva"/>
          <w:b/>
          <w:color w:val="7030A0"/>
          <w:spacing w:val="0"/>
          <w:position w:val="0"/>
          <w:sz w:val="48"/>
          <w:shd w:fill="auto" w:val="clear"/>
        </w:rPr>
        <w:t xml:space="preserve">Cyngor Cymuned Tregolwyn</w:t>
      </w:r>
    </w:p>
    <w:p>
      <w:pPr>
        <w:spacing w:before="0" w:after="200" w:line="276"/>
        <w:ind w:right="0" w:left="-142" w:firstLine="0"/>
        <w:jc w:val="center"/>
        <w:rPr>
          <w:rFonts w:ascii="Corsiva" w:hAnsi="Corsiva" w:cs="Corsiva" w:eastAsia="Corsiva"/>
          <w:b/>
          <w:color w:val="auto"/>
          <w:spacing w:val="0"/>
          <w:position w:val="0"/>
          <w:sz w:val="48"/>
          <w:shd w:fill="auto" w:val="clear"/>
        </w:rPr>
      </w:pPr>
      <w:r>
        <w:rPr>
          <w:rFonts w:ascii="Corsiva" w:hAnsi="Corsiva" w:cs="Corsiva" w:eastAsia="Corsiva"/>
          <w:b/>
          <w:color w:val="auto"/>
          <w:spacing w:val="0"/>
          <w:position w:val="0"/>
          <w:sz w:val="48"/>
          <w:shd w:fill="auto" w:val="clear"/>
        </w:rPr>
        <w:t xml:space="preserve">Colwinston Community Council</w:t>
      </w:r>
    </w:p>
    <w:p>
      <w:pPr>
        <w:spacing w:before="240" w:after="240" w:line="240"/>
        <w:ind w:right="0" w:left="0" w:firstLine="280"/>
        <w:jc w:val="righ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14</w:t>
      </w:r>
      <w:r>
        <w:rPr>
          <w:rFonts w:ascii="Arial" w:hAnsi="Arial" w:cs="Arial" w:eastAsia="Arial"/>
          <w:b/>
          <w:color w:val="auto"/>
          <w:spacing w:val="0"/>
          <w:position w:val="0"/>
          <w:sz w:val="24"/>
          <w:shd w:fill="auto" w:val="clear"/>
          <w:vertAlign w:val="superscript"/>
        </w:rPr>
        <w:t xml:space="preserve">th</w:t>
      </w:r>
      <w:r>
        <w:rPr>
          <w:rFonts w:ascii="Arial" w:hAnsi="Arial" w:cs="Arial" w:eastAsia="Arial"/>
          <w:b/>
          <w:color w:val="auto"/>
          <w:spacing w:val="0"/>
          <w:position w:val="0"/>
          <w:sz w:val="24"/>
          <w:shd w:fill="auto" w:val="clear"/>
        </w:rPr>
        <w:t xml:space="preserve"> May 2024</w:t>
      </w:r>
    </w:p>
    <w:p>
      <w:pPr>
        <w:spacing w:before="120" w:after="0" w:line="240"/>
        <w:ind w:right="0" w:left="2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hereby give you notice that a meeting of the Colwinston Community Council will be held at the Colwinston Village Hall on Monday 20</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May 2024 at 7.00pm.</w:t>
      </w:r>
    </w:p>
    <w:p>
      <w:pPr>
        <w:spacing w:before="120" w:after="0" w:line="240"/>
        <w:ind w:right="0" w:left="28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members of the above Council are hereby summoned to   for the purpose of transacting the following business.</w:t>
      </w:r>
    </w:p>
    <w:p>
      <w:pPr>
        <w:spacing w:before="120" w:after="0" w:line="240"/>
        <w:ind w:right="0" w:left="28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Yours Faithfully</w:t>
      </w:r>
    </w:p>
    <w:p>
      <w:pPr>
        <w:spacing w:before="120" w:after="0" w:line="240"/>
        <w:ind w:right="0" w:left="-140" w:firstLine="0"/>
        <w:jc w:val="left"/>
        <w:rPr>
          <w:rFonts w:ascii="Arial Nova" w:hAnsi="Arial Nova" w:cs="Arial Nova" w:eastAsia="Arial Nova"/>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Nova" w:hAnsi="Arial Nova" w:cs="Arial Nova" w:eastAsia="Arial Nova"/>
          <w:color w:val="auto"/>
          <w:spacing w:val="0"/>
          <w:position w:val="0"/>
          <w:sz w:val="24"/>
          <w:shd w:fill="auto" w:val="clear"/>
        </w:rPr>
        <w:t xml:space="preserve"> John Egan </w:t>
        <w:tab/>
        <w:t xml:space="preserve">              </w:t>
        <w:tab/>
      </w:r>
    </w:p>
    <w:p>
      <w:pPr>
        <w:spacing w:before="120" w:after="0" w:line="240"/>
        <w:ind w:right="0" w:left="28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Clerk to the Community Council</w:t>
      </w:r>
    </w:p>
    <w:p>
      <w:pPr>
        <w:spacing w:before="120" w:after="0" w:line="240"/>
        <w:ind w:right="0" w:left="280" w:firstLine="0"/>
        <w:jc w:val="left"/>
        <w:rPr>
          <w:rFonts w:ascii="Arial Nova" w:hAnsi="Arial Nova" w:cs="Arial Nova" w:eastAsia="Arial Nova"/>
          <w:color w:val="auto"/>
          <w:spacing w:val="0"/>
          <w:position w:val="0"/>
          <w:sz w:val="24"/>
          <w:shd w:fill="auto" w:val="clear"/>
        </w:rPr>
      </w:pPr>
    </w:p>
    <w:p>
      <w:pPr>
        <w:spacing w:before="0" w:after="200" w:line="240"/>
        <w:ind w:right="0" w:left="0" w:firstLine="0"/>
        <w:jc w:val="center"/>
        <w:rPr>
          <w:rFonts w:ascii="Arial Nova" w:hAnsi="Arial Nova" w:cs="Arial Nova" w:eastAsia="Arial Nova"/>
          <w:b/>
          <w:color w:val="auto"/>
          <w:spacing w:val="0"/>
          <w:position w:val="0"/>
          <w:sz w:val="24"/>
          <w:shd w:fill="auto" w:val="clear"/>
        </w:rPr>
      </w:pPr>
      <w:r>
        <w:rPr>
          <w:rFonts w:ascii="Arial Nova" w:hAnsi="Arial Nova" w:cs="Arial Nova" w:eastAsia="Arial Nova"/>
          <w:b/>
          <w:color w:val="auto"/>
          <w:spacing w:val="0"/>
          <w:position w:val="0"/>
          <w:sz w:val="24"/>
          <w:shd w:fill="auto" w:val="clear"/>
        </w:rPr>
        <w:t xml:space="preserve">AGENDA</w:t>
      </w:r>
    </w:p>
    <w:tbl>
      <w:tblPr>
        <w:tblInd w:w="114" w:type="dxa"/>
      </w:tblPr>
      <w:tblGrid>
        <w:gridCol w:w="670"/>
        <w:gridCol w:w="8232"/>
      </w:tblGrid>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Ref</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Agenda Item</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Apologies for absence</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2.</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Community Police Matters</w:t>
            </w:r>
          </w:p>
          <w:p>
            <w:pPr>
              <w:spacing w:before="0" w:after="0" w:line="240"/>
              <w:ind w:right="0" w:left="0" w:firstLine="0"/>
              <w:jc w:val="left"/>
              <w:rPr>
                <w:color w:val="auto"/>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3.</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Declaration of Members’ interests in the business to be discussed</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4.</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Public Question Time</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w:t>
            </w:r>
          </w:p>
          <w:p>
            <w:pPr>
              <w:spacing w:before="0" w:after="0" w:line="240"/>
              <w:ind w:right="0" w:left="0" w:firstLine="0"/>
              <w:jc w:val="left"/>
              <w:rPr>
                <w:color w:val="auto"/>
                <w:spacing w:val="0"/>
                <w:position w:val="0"/>
              </w:rPr>
            </w:pP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Vale of Glamorgan Matters</w:t>
            </w:r>
          </w:p>
          <w:p>
            <w:pPr>
              <w:numPr>
                <w:ilvl w:val="0"/>
                <w:numId w:val="23"/>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May report</w:t>
            </w:r>
          </w:p>
          <w:p>
            <w:pPr>
              <w:numPr>
                <w:ilvl w:val="0"/>
                <w:numId w:val="23"/>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Report from VoGC on collision with street light adjacent A48 - cable repair and new lighting column.</w:t>
            </w:r>
          </w:p>
          <w:p>
            <w:pPr>
              <w:numPr>
                <w:ilvl w:val="0"/>
                <w:numId w:val="23"/>
              </w:numPr>
              <w:spacing w:before="0" w:after="0" w:line="24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Enforcement dealing with hedge removal</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6.</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receive the minutes of the ordinary meeting held on 15</w:t>
            </w:r>
            <w:r>
              <w:rPr>
                <w:rFonts w:ascii="Arial" w:hAnsi="Arial" w:cs="Arial" w:eastAsia="Arial"/>
                <w:color w:val="auto"/>
                <w:spacing w:val="0"/>
                <w:position w:val="0"/>
                <w:sz w:val="24"/>
                <w:shd w:fill="auto" w:val="clear"/>
                <w:vertAlign w:val="superscript"/>
              </w:rPr>
              <w:t xml:space="preserve">th </w:t>
            </w:r>
            <w:r>
              <w:rPr>
                <w:rFonts w:ascii="Arial" w:hAnsi="Arial" w:cs="Arial" w:eastAsia="Arial"/>
                <w:color w:val="auto"/>
                <w:spacing w:val="0"/>
                <w:position w:val="0"/>
                <w:sz w:val="24"/>
                <w:shd w:fill="auto" w:val="clear"/>
              </w:rPr>
              <w:t xml:space="preserve">April 2024.</w:t>
            </w:r>
          </w:p>
          <w:p>
            <w:pPr>
              <w:numPr>
                <w:ilvl w:val="0"/>
                <w:numId w:val="27"/>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accuracy</w:t>
            </w:r>
          </w:p>
          <w:p>
            <w:pPr>
              <w:numPr>
                <w:ilvl w:val="0"/>
                <w:numId w:val="27"/>
              </w:numPr>
              <w:spacing w:before="0" w:after="0" w:line="24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For approval</w:t>
            </w:r>
          </w:p>
        </w:tc>
      </w:tr>
      <w:tr>
        <w:trPr>
          <w:trHeight w:val="191" w:hRule="auto"/>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7.</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To consider any matters arising from the 15</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April 2024 minutes.</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8. </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Proposed change to local council boundaries</w:t>
            </w:r>
          </w:p>
          <w:p>
            <w:pPr>
              <w:numPr>
                <w:ilvl w:val="0"/>
                <w:numId w:val="36"/>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Chairman report on current position </w:t>
            </w:r>
          </w:p>
          <w:p>
            <w:pPr>
              <w:numPr>
                <w:ilvl w:val="0"/>
                <w:numId w:val="36"/>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Open discussion</w:t>
            </w:r>
          </w:p>
          <w:p>
            <w:pPr>
              <w:numPr>
                <w:ilvl w:val="0"/>
                <w:numId w:val="36"/>
              </w:numPr>
              <w:spacing w:before="0" w:after="0" w:line="24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Support of Colwinston community</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9.</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Reports of Council’s Representatives on Outside Bodies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40"/>
              </w:numPr>
              <w:spacing w:before="0" w:after="0" w:line="24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Meeting Notification: (Special) Community Liaison Committee - Thursday 23rd May at 4pm</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10.</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Finance</w:t>
            </w:r>
          </w:p>
          <w:p>
            <w:pPr>
              <w:numPr>
                <w:ilvl w:val="0"/>
                <w:numId w:val="4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Bring Financial Reports up to date</w:t>
            </w:r>
          </w:p>
          <w:p>
            <w:pPr>
              <w:numPr>
                <w:ilvl w:val="0"/>
                <w:numId w:val="44"/>
              </w:numPr>
              <w:spacing w:before="0" w:after="0" w:line="240"/>
              <w:ind w:right="0" w:left="720" w:hanging="36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4"/>
                <w:shd w:fill="auto" w:val="clear"/>
              </w:rPr>
              <w:t xml:space="preserve">Bank Account Balance (20/05/24) report at meeting.</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46"/>
              </w:numPr>
              <w:spacing w:before="0" w:after="0" w:line="240"/>
              <w:ind w:right="0" w:left="720" w:hanging="360"/>
              <w:jc w:val="left"/>
              <w:rPr>
                <w:color w:val="auto"/>
                <w:spacing w:val="0"/>
                <w:position w:val="0"/>
              </w:rPr>
            </w:pPr>
            <w:r>
              <w:rPr>
                <w:rFonts w:ascii="Arial" w:hAnsi="Arial" w:cs="Arial" w:eastAsia="Arial"/>
                <w:color w:val="auto"/>
                <w:spacing w:val="0"/>
                <w:position w:val="0"/>
                <w:sz w:val="24"/>
                <w:shd w:fill="auto" w:val="clear"/>
              </w:rPr>
              <w:t xml:space="preserve">The cheque (N</w:t>
            </w:r>
            <w:r>
              <w:rPr>
                <w:rFonts w:ascii="Arial" w:hAnsi="Arial" w:cs="Arial" w:eastAsia="Arial"/>
                <w:color w:val="auto"/>
                <w:spacing w:val="0"/>
                <w:position w:val="0"/>
                <w:sz w:val="24"/>
                <w:shd w:fill="auto" w:val="clear"/>
                <w:vertAlign w:val="superscript"/>
              </w:rPr>
              <w:t xml:space="preserve">o </w:t>
            </w:r>
            <w:r>
              <w:rPr>
                <w:rFonts w:ascii="Arial" w:hAnsi="Arial" w:cs="Arial" w:eastAsia="Arial"/>
                <w:color w:val="auto"/>
                <w:spacing w:val="0"/>
                <w:position w:val="0"/>
                <w:sz w:val="24"/>
                <w:shd w:fill="auto" w:val="clear"/>
              </w:rPr>
              <w:t xml:space="preserve">000284) for Cllr Morris - Tree Inspection training  09/04/24 was lost, not banked. Cheque Value - £318 --- cancelled</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11.</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Payments for Authorisation</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0"/>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CPR Training  To discuss the donation of £50 to St.John Ambulance following the CPR Training provided on April 29th.</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Defib4life in respect of supply and delivery of AED Prep Kit    £17.28 including Vat.</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54"/>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GDPR in respect of Data Protection fee of £40 due to be collected by Direct Debit on June 12th</w:t>
            </w:r>
          </w:p>
          <w:p>
            <w:pPr>
              <w:spacing w:before="0" w:after="0" w:line="240"/>
              <w:ind w:right="0" w:left="0" w:firstLine="0"/>
              <w:jc w:val="left"/>
              <w:rPr>
                <w:color w:val="auto"/>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12.</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TWIG Grant Application   </w:t>
            </w:r>
          </w:p>
          <w:p>
            <w:pPr>
              <w:spacing w:before="0" w:after="0" w:line="240"/>
              <w:ind w:right="0" w:left="0" w:firstLine="0"/>
              <w:jc w:val="left"/>
              <w:rPr>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13.</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Dog Fouling actions to date and on-going.         </w:t>
            </w:r>
          </w:p>
          <w:p>
            <w:pPr>
              <w:spacing w:before="0" w:after="0" w:line="240"/>
              <w:ind w:right="0" w:left="0" w:firstLine="0"/>
              <w:jc w:val="left"/>
              <w:rPr>
                <w:color w:val="auto"/>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14.</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Village Maintenance </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65"/>
              </w:numPr>
              <w:spacing w:before="0" w:after="0" w:line="240"/>
              <w:ind w:right="0" w:left="720" w:hanging="36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Chairman report on use of Section106 Monies: proposals from VoGC</w:t>
            </w:r>
          </w:p>
          <w:p>
            <w:pPr>
              <w:numPr>
                <w:ilvl w:val="0"/>
                <w:numId w:val="65"/>
              </w:numPr>
              <w:spacing w:before="0" w:after="0" w:line="240"/>
              <w:ind w:right="0" w:left="720" w:hanging="36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Tree report from Cllr Morris</w:t>
            </w:r>
          </w:p>
          <w:p>
            <w:pPr>
              <w:numPr>
                <w:ilvl w:val="0"/>
                <w:numId w:val="65"/>
              </w:numPr>
              <w:spacing w:before="0" w:after="0" w:line="240"/>
              <w:ind w:right="0" w:left="720" w:hanging="360"/>
              <w:jc w:val="left"/>
              <w:rPr>
                <w:rFonts w:ascii="Aptos" w:hAnsi="Aptos" w:cs="Aptos" w:eastAsia="Aptos"/>
                <w:color w:val="auto"/>
                <w:spacing w:val="0"/>
                <w:position w:val="0"/>
                <w:sz w:val="24"/>
                <w:shd w:fill="auto" w:val="clear"/>
              </w:rPr>
            </w:pPr>
            <w:r>
              <w:rPr>
                <w:rFonts w:ascii="Arial" w:hAnsi="Arial" w:cs="Arial" w:eastAsia="Arial"/>
                <w:color w:val="auto"/>
                <w:spacing w:val="0"/>
                <w:position w:val="0"/>
                <w:sz w:val="24"/>
                <w:shd w:fill="auto" w:val="clear"/>
              </w:rPr>
              <w:t xml:space="preserve">Tree report from Cardiff Conservation Volunteers</w:t>
            </w:r>
          </w:p>
          <w:p>
            <w:pPr>
              <w:spacing w:before="0" w:after="0" w:line="240"/>
              <w:ind w:right="0" w:left="0" w:firstLine="0"/>
              <w:jc w:val="left"/>
              <w:rPr>
                <w:color w:val="auto"/>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15.</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Hedgerow Complaints</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16.</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Correspondence</w:t>
            </w: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7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Letter (original dated 30/04/24) sent forward by Cllr Cave requesting "Elected Members End of Year 23/24 Reports".</w:t>
            </w:r>
          </w:p>
          <w:p>
            <w:pPr>
              <w:spacing w:before="0" w:after="0" w:line="240"/>
              <w:ind w:right="0" w:left="0" w:firstLine="0"/>
              <w:jc w:val="left"/>
              <w:rPr>
                <w:rFonts w:ascii="Arial" w:hAnsi="Arial" w:cs="Arial" w:eastAsia="Arial"/>
                <w:color w:val="auto"/>
                <w:spacing w:val="0"/>
                <w:position w:val="0"/>
                <w:sz w:val="24"/>
                <w:shd w:fill="auto" w:val="clear"/>
              </w:rPr>
            </w:pPr>
          </w:p>
          <w:p>
            <w:pPr>
              <w:numPr>
                <w:ilvl w:val="0"/>
                <w:numId w:val="75"/>
              </w:numPr>
              <w:spacing w:before="0" w:after="0" w:line="24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VoGC letter (09/05/24) regarding the removal of litter waste from bins, following request from Cllr C.Cave for collection frequency to increase. The VOGC are unable to increase frequency due to financial constraints, they are actively seeking to reduce bin numbers by 25 to 50 %.</w:t>
            </w: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77"/>
              </w:numPr>
              <w:spacing w:before="0" w:after="0" w:line="24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Letter (09/05/24) inviting Mrs S Hookins to attend the Samaritans Annual General Meeting on Wednesday, 26th June, 2024 at 7pm.  In the Masonic Hall, Coychurch Road, Bridgend, CF31 2AP.  A buffet is provided following formalities.</w:t>
            </w: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79"/>
              </w:numPr>
              <w:spacing w:before="0" w:after="0" w:line="24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GVS Health Social Care &amp; Wellbeing ebulletin 9.5.2024. I sent forward to Cllr's Cronin and Hadley and suggested posting on Facebook or website as there is agreat deal of public information here, that may help others in the community.</w:t>
            </w: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81"/>
              </w:numPr>
              <w:spacing w:before="0" w:after="0" w:line="24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One Voice Wales Bulletin (07/05/24) : Have planned a series of Webinars and would welcome Community Councils to join. Each Webinar will take one of the key Cost-of-Living Crisis areas that have been highlighted as an area of need in your communities. </w:t>
            </w: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83"/>
              </w:numPr>
              <w:spacing w:before="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One Voice Wales: (14/05/24) WEBINAR: Is the Cost-of-Living Crisis Over? on 23/05/24  -  10.00 - 11.30</w:t>
            </w:r>
          </w:p>
          <w:p>
            <w:pPr>
              <w:spacing w:before="0" w:after="0" w:line="240"/>
              <w:ind w:right="0" w:left="0" w:firstLine="0"/>
              <w:jc w:val="left"/>
              <w:rPr>
                <w:rFonts w:ascii="Arial" w:hAnsi="Arial" w:cs="Arial" w:eastAsia="Arial"/>
                <w:color w:val="auto"/>
                <w:spacing w:val="0"/>
                <w:position w:val="0"/>
                <w:sz w:val="24"/>
                <w:u w:val="single"/>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p>
          <w:p>
            <w:pPr>
              <w:numPr>
                <w:ilvl w:val="0"/>
                <w:numId w:val="85"/>
              </w:numPr>
              <w:spacing w:before="0" w:after="0" w:line="240"/>
              <w:ind w:right="0" w:left="720" w:hanging="36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Meeting Notification: (Special) Community Liaison Committee - Thursday 23rd May at 4pm: Single agenda item is proposal on Boundary Changes to local councils.</w:t>
            </w:r>
          </w:p>
          <w:p>
            <w:pPr>
              <w:spacing w:before="0" w:after="160" w:line="278"/>
              <w:ind w:right="0" w:left="720" w:firstLine="0"/>
              <w:jc w:val="left"/>
              <w:rPr>
                <w:rFonts w:ascii="Arial" w:hAnsi="Arial" w:cs="Arial" w:eastAsia="Arial"/>
                <w:color w:val="auto"/>
                <w:spacing w:val="0"/>
                <w:position w:val="0"/>
                <w:sz w:val="24"/>
                <w:u w:val="single"/>
                <w:shd w:fill="auto" w:val="clear"/>
              </w:rPr>
            </w:pPr>
          </w:p>
          <w:p>
            <w:pPr>
              <w:numPr>
                <w:ilvl w:val="0"/>
                <w:numId w:val="87"/>
              </w:numPr>
              <w:spacing w:before="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GVS (Volunteer Sector) News (09/05/24)</w:t>
            </w:r>
            <w:r>
              <w:rPr>
                <w:rFonts w:ascii="Arial" w:hAnsi="Arial" w:cs="Arial" w:eastAsia="Arial"/>
                <w:i/>
                <w:color w:val="auto"/>
                <w:spacing w:val="0"/>
                <w:position w:val="0"/>
                <w:sz w:val="24"/>
                <w:shd w:fill="auto" w:val="clear"/>
              </w:rPr>
              <w:t xml:space="preserve"> </w:t>
            </w:r>
          </w:p>
          <w:p>
            <w:pPr>
              <w:spacing w:before="0" w:after="0" w:line="240"/>
              <w:ind w:right="0" w:left="0" w:firstLine="0"/>
              <w:jc w:val="left"/>
              <w:rPr>
                <w:rFonts w:ascii="Arial" w:hAnsi="Arial" w:cs="Arial" w:eastAsia="Arial"/>
                <w:i/>
                <w:color w:val="auto"/>
                <w:spacing w:val="0"/>
                <w:position w:val="0"/>
                <w:sz w:val="24"/>
                <w:shd w:fill="auto" w:val="clear"/>
              </w:rPr>
            </w:pPr>
          </w:p>
          <w:p>
            <w:pPr>
              <w:spacing w:before="0" w:after="0" w:line="240"/>
              <w:ind w:right="0" w:left="0" w:firstLine="0"/>
              <w:jc w:val="left"/>
              <w:rPr>
                <w:rFonts w:ascii="Arial" w:hAnsi="Arial" w:cs="Arial" w:eastAsia="Arial"/>
                <w:i/>
                <w:color w:val="auto"/>
                <w:spacing w:val="0"/>
                <w:position w:val="0"/>
                <w:sz w:val="24"/>
                <w:shd w:fill="auto" w:val="clear"/>
              </w:rPr>
            </w:pPr>
          </w:p>
          <w:p>
            <w:pPr>
              <w:numPr>
                <w:ilvl w:val="0"/>
                <w:numId w:val="89"/>
              </w:numPr>
              <w:spacing w:before="0" w:after="0" w:line="240"/>
              <w:ind w:right="0" w:left="720" w:hanging="360"/>
              <w:jc w:val="left"/>
              <w:rPr>
                <w:rFonts w:ascii="Arial" w:hAnsi="Arial" w:cs="Arial" w:eastAsia="Arial"/>
                <w:i/>
                <w:color w:val="auto"/>
                <w:spacing w:val="0"/>
                <w:position w:val="0"/>
                <w:sz w:val="24"/>
                <w:shd w:fill="auto" w:val="clear"/>
              </w:rPr>
            </w:pPr>
            <w:r>
              <w:rPr>
                <w:rFonts w:ascii="Arial" w:hAnsi="Arial" w:cs="Arial" w:eastAsia="Arial"/>
                <w:color w:val="auto"/>
                <w:spacing w:val="0"/>
                <w:position w:val="0"/>
                <w:sz w:val="24"/>
                <w:shd w:fill="auto" w:val="clear"/>
              </w:rPr>
              <w:t xml:space="preserve">Letter (14/05/24) Community Liason Committee: Asking for contact details for CCC Chairman, Clerk and Liason Committee members.</w:t>
            </w:r>
          </w:p>
          <w:p>
            <w:pPr>
              <w:spacing w:before="0" w:after="0" w:line="240"/>
              <w:ind w:right="0" w:left="0" w:firstLine="0"/>
              <w:jc w:val="left"/>
              <w:rPr>
                <w:color w:val="auto"/>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17.</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Planning matters-</w:t>
            </w:r>
            <w:r>
              <w:rPr>
                <w:rFonts w:ascii="Arial" w:hAnsi="Arial" w:cs="Arial" w:eastAsia="Arial"/>
                <w:color w:val="000000"/>
                <w:spacing w:val="0"/>
                <w:position w:val="0"/>
                <w:sz w:val="24"/>
                <w:shd w:fill="auto" w:val="clear"/>
              </w:rPr>
              <w:t xml:space="preserve">Update on current planning applications.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Matters discussed at 16</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May 2024 Planning Meeting:</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2024/0192/BN R 6, Maes Y Bryn, Colwinston, Cowbridge. CF71 7NP Convert existing polycarbonate roof to flat roof deck, and alterations to existing walls.    Listed as rejected.</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2024/0047/AI A 5, Maes Y Bryn, Colwinston, Cowbridge. CF71 7NP Proposed rear single storey extension     Listed as Initial Notice.</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Appeals LPA Reference No: 2023/01029/CAC Appeal Method: Written Representations Appeal Reference No: CAS-03210-R5F4Q5 Appellant: Mr and Mrs James and Chelsea Prichard Location: Field access to the West of Village Farm House, Colwinston Proposal: Retention of the existing stone wall, reusing existing stone, and widening of field access with new gate Start Date: 16 April 2024</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 Trees  2024/00271/TCA A The Sages, Colwinston Work to Tree(s) in a Conservation Area : Removal of 2 no. Ash trees, they are suffering from 30% Ash die back. Removal of 4 no. large conifers on our driveway. </w:t>
            </w:r>
          </w:p>
          <w:p>
            <w:pPr>
              <w:spacing w:before="0" w:after="0" w:line="240"/>
              <w:ind w:right="0" w:left="0" w:firstLine="0"/>
              <w:jc w:val="left"/>
              <w:rPr>
                <w:spacing w:val="0"/>
                <w:position w:val="0"/>
              </w:rPr>
            </w:pP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18.</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Clerks Report:</w:t>
            </w:r>
          </w:p>
          <w:p>
            <w:pPr>
              <w:numPr>
                <w:ilvl w:val="0"/>
                <w:numId w:val="97"/>
              </w:numPr>
              <w:spacing w:before="0" w:after="0" w:line="240"/>
              <w:ind w:right="0" w:left="720" w:hanging="360"/>
              <w:jc w:val="left"/>
              <w:rPr>
                <w:color w:val="auto"/>
                <w:spacing w:val="0"/>
                <w:position w:val="0"/>
              </w:rPr>
            </w:pPr>
            <w:r>
              <w:rPr>
                <w:rFonts w:ascii="Aptos" w:hAnsi="Aptos" w:cs="Aptos" w:eastAsia="Aptos"/>
                <w:color w:val="auto"/>
                <w:spacing w:val="0"/>
                <w:position w:val="0"/>
                <w:sz w:val="24"/>
                <w:shd w:fill="auto" w:val="clear"/>
              </w:rPr>
              <w:t xml:space="preserve">Access to Colwinston email address.</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19.</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AOB</w:t>
            </w:r>
          </w:p>
        </w:tc>
      </w:tr>
      <w:tr>
        <w:trPr>
          <w:trHeight w:val="1" w:hRule="atLeast"/>
          <w:jc w:val="left"/>
        </w:trPr>
        <w:tc>
          <w:tcPr>
            <w:tcW w:w="670"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20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20.</w:t>
            </w:r>
          </w:p>
        </w:tc>
        <w:tc>
          <w:tcPr>
            <w:tcW w:w="8232" w:type="dxa"/>
            <w:tcBorders>
              <w:top w:val="single" w:color="000000" w:sz="4"/>
              <w:left w:val="single" w:color="000000" w:sz="4"/>
              <w:bottom w:val="single" w:color="000000" w:sz="4"/>
              <w:right w:val="single" w:color="000000" w:sz="4"/>
            </w:tcBorders>
            <w:shd w:color="000000" w:fill="auto" w:val="clear"/>
            <w:tcMar>
              <w:left w:w="114" w:type="dxa"/>
              <w:right w:w="114"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Date &amp; Time of next meeting - 17</w:t>
            </w:r>
            <w:r>
              <w:rPr>
                <w:rFonts w:ascii="Arial" w:hAnsi="Arial" w:cs="Arial" w:eastAsia="Arial"/>
                <w:color w:val="auto"/>
                <w:spacing w:val="0"/>
                <w:position w:val="0"/>
                <w:sz w:val="24"/>
                <w:shd w:fill="auto" w:val="clear"/>
                <w:vertAlign w:val="superscript"/>
              </w:rPr>
              <w:t xml:space="preserve">th </w:t>
            </w:r>
            <w:r>
              <w:rPr>
                <w:rFonts w:ascii="Arial" w:hAnsi="Arial" w:cs="Arial" w:eastAsia="Arial"/>
                <w:color w:val="auto"/>
                <w:spacing w:val="0"/>
                <w:position w:val="0"/>
                <w:sz w:val="24"/>
                <w:shd w:fill="auto" w:val="clear"/>
              </w:rPr>
              <w:t xml:space="preserve">June 2024 7.00 pm</w:t>
            </w:r>
          </w:p>
        </w:tc>
      </w:tr>
    </w:tbl>
    <w:p>
      <w:pPr>
        <w:spacing w:before="0" w:after="200" w:line="276"/>
        <w:ind w:right="0" w:left="0" w:firstLine="0"/>
        <w:jc w:val="left"/>
        <w:rPr>
          <w:rFonts w:ascii="Arial" w:hAnsi="Arial" w:cs="Arial" w:eastAsia="Arial"/>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23">
    <w:abstractNumId w:val="114"/>
  </w:num>
  <w:num w:numId="27">
    <w:abstractNumId w:val="108"/>
  </w:num>
  <w:num w:numId="36">
    <w:abstractNumId w:val="102"/>
  </w:num>
  <w:num w:numId="40">
    <w:abstractNumId w:val="96"/>
  </w:num>
  <w:num w:numId="44">
    <w:abstractNumId w:val="90"/>
  </w:num>
  <w:num w:numId="46">
    <w:abstractNumId w:val="84"/>
  </w:num>
  <w:num w:numId="50">
    <w:abstractNumId w:val="78"/>
  </w:num>
  <w:num w:numId="52">
    <w:abstractNumId w:val="72"/>
  </w:num>
  <w:num w:numId="54">
    <w:abstractNumId w:val="66"/>
  </w:num>
  <w:num w:numId="65">
    <w:abstractNumId w:val="60"/>
  </w:num>
  <w:num w:numId="73">
    <w:abstractNumId w:val="54"/>
  </w:num>
  <w:num w:numId="75">
    <w:abstractNumId w:val="48"/>
  </w:num>
  <w:num w:numId="77">
    <w:abstractNumId w:val="42"/>
  </w:num>
  <w:num w:numId="79">
    <w:abstractNumId w:val="36"/>
  </w:num>
  <w:num w:numId="81">
    <w:abstractNumId w:val="30"/>
  </w:num>
  <w:num w:numId="83">
    <w:abstractNumId w:val="24"/>
  </w:num>
  <w:num w:numId="85">
    <w:abstractNumId w:val="18"/>
  </w:num>
  <w:num w:numId="87">
    <w:abstractNumId w:val="12"/>
  </w:num>
  <w:num w:numId="89">
    <w:abstractNumId w:val="6"/>
  </w:num>
  <w:num w:numId="9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