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2083" w14:textId="77777777" w:rsidR="0062177D" w:rsidRDefault="00000000">
      <w:pPr>
        <w:spacing w:after="119"/>
        <w:ind w:left="97" w:right="2973" w:hanging="10"/>
      </w:pPr>
      <w:proofErr w:type="spellStart"/>
      <w:r>
        <w:rPr>
          <w:sz w:val="26"/>
        </w:rPr>
        <w:t>Manafon</w:t>
      </w:r>
      <w:proofErr w:type="spellEnd"/>
      <w:r>
        <w:rPr>
          <w:sz w:val="26"/>
        </w:rPr>
        <w:t xml:space="preserve"> Community Council — Risk Assessment Policy May 2025</w:t>
      </w:r>
    </w:p>
    <w:tbl>
      <w:tblPr>
        <w:tblStyle w:val="TableGrid"/>
        <w:tblW w:w="9349" w:type="dxa"/>
        <w:tblInd w:w="8" w:type="dxa"/>
        <w:tblCellMar>
          <w:top w:w="0" w:type="dxa"/>
          <w:left w:w="0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3116"/>
        <w:gridCol w:w="3056"/>
        <w:gridCol w:w="129"/>
        <w:gridCol w:w="3048"/>
      </w:tblGrid>
      <w:tr w:rsidR="0062177D" w14:paraId="22596709" w14:textId="77777777">
        <w:trPr>
          <w:trHeight w:val="686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41CB5" w14:textId="77777777" w:rsidR="0062177D" w:rsidRDefault="00000000">
            <w:pPr>
              <w:spacing w:after="0"/>
              <w:ind w:left="223"/>
            </w:pPr>
            <w:r>
              <w:rPr>
                <w:sz w:val="30"/>
              </w:rPr>
              <w:t>Protection of</w:t>
            </w:r>
          </w:p>
          <w:p w14:paraId="74BDFA6E" w14:textId="77777777" w:rsidR="0062177D" w:rsidRDefault="00000000">
            <w:pPr>
              <w:spacing w:after="0"/>
              <w:ind w:left="213"/>
            </w:pPr>
            <w:r>
              <w:rPr>
                <w:sz w:val="32"/>
              </w:rPr>
              <w:t>Physical Asse&amp;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D5462" w14:textId="77777777" w:rsidR="0062177D" w:rsidRDefault="00000000">
            <w:pPr>
              <w:spacing w:after="0"/>
              <w:ind w:left="206"/>
            </w:pPr>
            <w:r>
              <w:rPr>
                <w:sz w:val="36"/>
              </w:rPr>
              <w:t>Risk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B0858" w14:textId="77777777" w:rsidR="0062177D" w:rsidRDefault="0062177D"/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C0284" w14:textId="48EE0F22" w:rsidR="0062177D" w:rsidRDefault="007202E2">
            <w:pPr>
              <w:spacing w:after="0"/>
              <w:ind w:left="216"/>
            </w:pPr>
            <w:r>
              <w:rPr>
                <w:sz w:val="34"/>
              </w:rPr>
              <w:t>Control</w:t>
            </w:r>
          </w:p>
        </w:tc>
      </w:tr>
      <w:tr w:rsidR="0062177D" w14:paraId="246437FB" w14:textId="77777777">
        <w:trPr>
          <w:trHeight w:val="694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27905" w14:textId="77777777" w:rsidR="0062177D" w:rsidRDefault="00000000">
            <w:pPr>
              <w:spacing w:after="0"/>
              <w:ind w:left="199"/>
            </w:pPr>
            <w:r>
              <w:rPr>
                <w:sz w:val="28"/>
              </w:rPr>
              <w:t>Asset Register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989DC" w14:textId="77777777" w:rsidR="0062177D" w:rsidRDefault="00000000">
            <w:pPr>
              <w:spacing w:after="0"/>
              <w:ind w:left="196" w:hanging="14"/>
            </w:pPr>
            <w:r>
              <w:rPr>
                <w:sz w:val="28"/>
              </w:rPr>
              <w:t>Asset overlooked or not insured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A9CFA" w14:textId="77777777" w:rsidR="0062177D" w:rsidRDefault="0062177D"/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51DC7" w14:textId="77777777" w:rsidR="0062177D" w:rsidRDefault="00000000">
            <w:pPr>
              <w:spacing w:after="0"/>
              <w:ind w:left="206" w:firstLine="10"/>
              <w:jc w:val="both"/>
            </w:pPr>
            <w:r>
              <w:rPr>
                <w:sz w:val="26"/>
              </w:rPr>
              <w:t>Register reviewed and updated annually</w:t>
            </w:r>
          </w:p>
        </w:tc>
      </w:tr>
      <w:tr w:rsidR="0062177D" w14:paraId="1C865E70" w14:textId="77777777">
        <w:trPr>
          <w:trHeight w:val="1119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661C" w14:textId="77777777" w:rsidR="0062177D" w:rsidRDefault="00000000">
            <w:pPr>
              <w:spacing w:after="0"/>
              <w:ind w:left="218"/>
            </w:pPr>
            <w:r>
              <w:rPr>
                <w:sz w:val="28"/>
              </w:rPr>
              <w:t>Examination of Assets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E166B" w14:textId="77777777" w:rsidR="0062177D" w:rsidRDefault="00000000">
            <w:pPr>
              <w:spacing w:after="0"/>
              <w:ind w:left="192" w:right="16" w:firstLine="5"/>
              <w:jc w:val="both"/>
            </w:pPr>
            <w:r>
              <w:rPr>
                <w:sz w:val="26"/>
              </w:rPr>
              <w:t>Deterioration of asset Risk to third party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BCF8" w14:textId="77777777" w:rsidR="0062177D" w:rsidRDefault="0062177D"/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4557B" w14:textId="0E7B0B0C" w:rsidR="0062177D" w:rsidRDefault="00000000">
            <w:pPr>
              <w:spacing w:after="0" w:line="216" w:lineRule="auto"/>
              <w:ind w:left="197" w:right="226" w:firstLine="5"/>
              <w:jc w:val="both"/>
            </w:pPr>
            <w:r>
              <w:rPr>
                <w:sz w:val="26"/>
              </w:rPr>
              <w:t xml:space="preserve">Full inspection of assets undertaken annually </w:t>
            </w:r>
          </w:p>
          <w:p w14:paraId="23700BEE" w14:textId="77777777" w:rsidR="0062177D" w:rsidRDefault="00000000">
            <w:pPr>
              <w:spacing w:after="0"/>
              <w:ind w:left="192"/>
            </w:pPr>
            <w:r>
              <w:rPr>
                <w:sz w:val="28"/>
              </w:rPr>
              <w:t>Insurance cover reviewed</w:t>
            </w:r>
          </w:p>
        </w:tc>
      </w:tr>
      <w:tr w:rsidR="0062177D" w14:paraId="06F3FB86" w14:textId="77777777">
        <w:trPr>
          <w:trHeight w:val="852"/>
        </w:trPr>
        <w:tc>
          <w:tcPr>
            <w:tcW w:w="315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E1B245" w14:textId="77777777" w:rsidR="0062177D" w:rsidRDefault="00000000">
            <w:pPr>
              <w:spacing w:after="1164"/>
              <w:ind w:left="208"/>
            </w:pPr>
            <w:r>
              <w:rPr>
                <w:sz w:val="28"/>
              </w:rPr>
              <w:t>Insurance Cover</w:t>
            </w:r>
          </w:p>
          <w:p w14:paraId="1280FB21" w14:textId="77777777" w:rsidR="0062177D" w:rsidRDefault="00000000">
            <w:pPr>
              <w:spacing w:after="0"/>
              <w:ind w:left="189"/>
            </w:pPr>
            <w:r>
              <w:rPr>
                <w:sz w:val="30"/>
              </w:rPr>
              <w:t>Employees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2ED057" w14:textId="77777777" w:rsidR="0062177D" w:rsidRDefault="00000000">
            <w:pPr>
              <w:spacing w:after="0"/>
              <w:ind w:left="173" w:right="324" w:firstLine="10"/>
              <w:jc w:val="both"/>
            </w:pPr>
            <w:r>
              <w:rPr>
                <w:sz w:val="26"/>
              </w:rPr>
              <w:t>Risk of damage to third party property or individuals</w:t>
            </w:r>
          </w:p>
        </w:tc>
        <w:tc>
          <w:tcPr>
            <w:tcW w:w="1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B9205" w14:textId="77777777" w:rsidR="0062177D" w:rsidRDefault="0062177D"/>
        </w:tc>
        <w:tc>
          <w:tcPr>
            <w:tcW w:w="308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1D7966" w14:textId="77777777" w:rsidR="0062177D" w:rsidRDefault="00000000">
            <w:pPr>
              <w:spacing w:after="0" w:line="216" w:lineRule="auto"/>
              <w:ind w:left="173" w:firstLine="14"/>
              <w:jc w:val="both"/>
            </w:pPr>
            <w:r>
              <w:rPr>
                <w:sz w:val="28"/>
              </w:rPr>
              <w:t>Insurance cover reviewed at annual renewal date</w:t>
            </w:r>
          </w:p>
          <w:p w14:paraId="46C6FEA5" w14:textId="4708C82A" w:rsidR="0062177D" w:rsidRDefault="00000000">
            <w:pPr>
              <w:spacing w:after="596"/>
              <w:ind w:left="254"/>
            </w:pPr>
            <w:r>
              <w:rPr>
                <w:sz w:val="26"/>
              </w:rPr>
              <w:t>Public</w:t>
            </w:r>
            <w:r>
              <w:rPr>
                <w:sz w:val="26"/>
                <w:u w:val="single" w:color="000000"/>
              </w:rPr>
              <w:t xml:space="preserve"> </w:t>
            </w:r>
            <w:r w:rsidR="007202E2">
              <w:rPr>
                <w:sz w:val="26"/>
                <w:u w:val="single" w:color="000000"/>
              </w:rPr>
              <w:t>liabi</w:t>
            </w:r>
            <w:r w:rsidR="007202E2">
              <w:rPr>
                <w:sz w:val="26"/>
              </w:rPr>
              <w:t>lity</w:t>
            </w:r>
          </w:p>
          <w:p w14:paraId="5B23C972" w14:textId="77777777" w:rsidR="0062177D" w:rsidRDefault="00000000">
            <w:pPr>
              <w:spacing w:after="0"/>
              <w:ind w:left="149"/>
            </w:pPr>
            <w:r>
              <w:rPr>
                <w:sz w:val="30"/>
              </w:rPr>
              <w:t>Control</w:t>
            </w:r>
          </w:p>
        </w:tc>
      </w:tr>
      <w:tr w:rsidR="0062177D" w14:paraId="68822B1A" w14:textId="77777777">
        <w:trPr>
          <w:trHeight w:val="6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0506BD" w14:textId="77777777" w:rsidR="0062177D" w:rsidRDefault="0062177D"/>
        </w:tc>
        <w:tc>
          <w:tcPr>
            <w:tcW w:w="3092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30E0704E" w14:textId="77777777" w:rsidR="0062177D" w:rsidRDefault="00000000">
            <w:pPr>
              <w:spacing w:after="0"/>
              <w:ind w:left="163"/>
            </w:pPr>
            <w:r>
              <w:rPr>
                <w:sz w:val="34"/>
              </w:rPr>
              <w:t>Risk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412C8A" w14:textId="77777777" w:rsidR="0062177D" w:rsidRDefault="0062177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856798F" w14:textId="77777777" w:rsidR="0062177D" w:rsidRDefault="0062177D"/>
        </w:tc>
      </w:tr>
      <w:tr w:rsidR="0062177D" w14:paraId="1F98E618" w14:textId="77777777">
        <w:trPr>
          <w:trHeight w:val="69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BC8193" w14:textId="77777777" w:rsidR="0062177D" w:rsidRDefault="0062177D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C3CB48" w14:textId="77777777" w:rsidR="0062177D" w:rsidRDefault="0062177D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5A4BB2" w14:textId="77777777" w:rsidR="0062177D" w:rsidRDefault="0062177D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B16AA88" w14:textId="77777777" w:rsidR="0062177D" w:rsidRDefault="0062177D"/>
        </w:tc>
      </w:tr>
      <w:tr w:rsidR="0062177D" w14:paraId="345BEA3D" w14:textId="77777777">
        <w:trPr>
          <w:trHeight w:val="835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FF385" w14:textId="77777777" w:rsidR="0062177D" w:rsidRDefault="00000000">
            <w:pPr>
              <w:spacing w:after="0"/>
              <w:ind w:left="179"/>
            </w:pPr>
            <w:r>
              <w:rPr>
                <w:sz w:val="28"/>
              </w:rPr>
              <w:t>Contracts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E1620" w14:textId="77777777" w:rsidR="0062177D" w:rsidRDefault="00000000">
            <w:pPr>
              <w:spacing w:after="0"/>
              <w:ind w:left="149" w:firstLine="5"/>
              <w:jc w:val="both"/>
            </w:pPr>
            <w:r>
              <w:rPr>
                <w:sz w:val="28"/>
              </w:rPr>
              <w:t>Should be awarded fairly and legally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3972D" w14:textId="77777777" w:rsidR="0062177D" w:rsidRDefault="0062177D"/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B731D" w14:textId="77777777" w:rsidR="0062177D" w:rsidRDefault="00000000">
            <w:pPr>
              <w:spacing w:after="0"/>
              <w:ind w:left="125" w:right="53" w:firstLine="14"/>
              <w:jc w:val="both"/>
            </w:pPr>
            <w:r>
              <w:rPr>
                <w:sz w:val="26"/>
              </w:rPr>
              <w:t>Ensure contracts awarded as required in Standing Orders</w:t>
            </w:r>
          </w:p>
        </w:tc>
      </w:tr>
      <w:tr w:rsidR="0062177D" w14:paraId="203387C8" w14:textId="77777777">
        <w:trPr>
          <w:trHeight w:val="835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603AC" w14:textId="77777777" w:rsidR="0062177D" w:rsidRDefault="00000000">
            <w:pPr>
              <w:spacing w:after="0"/>
              <w:ind w:left="179"/>
            </w:pPr>
            <w:r>
              <w:rPr>
                <w:sz w:val="26"/>
              </w:rPr>
              <w:t>Review of Performance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7AB56" w14:textId="71D5AD1E" w:rsidR="0062177D" w:rsidRDefault="00000000">
            <w:pPr>
              <w:spacing w:after="0"/>
              <w:ind w:left="125" w:right="376" w:firstLine="10"/>
            </w:pPr>
            <w:r>
              <w:rPr>
                <w:sz w:val="26"/>
              </w:rPr>
              <w:t>To ensure high quality work undertaken as r</w:t>
            </w:r>
            <w:r w:rsidR="007202E2">
              <w:rPr>
                <w:sz w:val="26"/>
              </w:rPr>
              <w:t>eq</w:t>
            </w:r>
            <w:r>
              <w:rPr>
                <w:sz w:val="26"/>
              </w:rPr>
              <w:t>uired and r</w:t>
            </w:r>
            <w:r w:rsidR="007202E2">
              <w:rPr>
                <w:sz w:val="26"/>
              </w:rPr>
              <w:t>eq</w:t>
            </w:r>
            <w:r>
              <w:rPr>
                <w:sz w:val="26"/>
              </w:rPr>
              <w:t>uested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4D185" w14:textId="77777777" w:rsidR="0062177D" w:rsidRDefault="0062177D"/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6958A" w14:textId="77777777" w:rsidR="0062177D" w:rsidRDefault="00000000">
            <w:pPr>
              <w:spacing w:after="0"/>
              <w:ind w:left="110"/>
            </w:pPr>
            <w:r>
              <w:rPr>
                <w:sz w:val="26"/>
              </w:rPr>
              <w:t>Work reviewed periodically</w:t>
            </w:r>
          </w:p>
        </w:tc>
      </w:tr>
      <w:tr w:rsidR="0062177D" w14:paraId="4959101C" w14:textId="77777777">
        <w:trPr>
          <w:trHeight w:val="835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CC36B" w14:textId="77777777" w:rsidR="0062177D" w:rsidRDefault="00000000">
            <w:pPr>
              <w:spacing w:after="0"/>
              <w:ind w:left="175"/>
            </w:pPr>
            <w:r>
              <w:rPr>
                <w:sz w:val="28"/>
              </w:rPr>
              <w:t>Insurance Cover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E6D1" w14:textId="77777777" w:rsidR="0062177D" w:rsidRDefault="00000000">
            <w:pPr>
              <w:spacing w:after="0"/>
              <w:ind w:left="130" w:firstLine="10"/>
              <w:jc w:val="both"/>
            </w:pPr>
            <w:r>
              <w:rPr>
                <w:sz w:val="28"/>
              </w:rPr>
              <w:t>Employee should have adequate insurance cover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0BF03" w14:textId="77777777" w:rsidR="0062177D" w:rsidRDefault="0062177D"/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C9CD2" w14:textId="77777777" w:rsidR="0062177D" w:rsidRDefault="00000000">
            <w:pPr>
              <w:spacing w:after="0"/>
              <w:ind w:left="86" w:firstLine="10"/>
            </w:pPr>
            <w:r>
              <w:rPr>
                <w:sz w:val="28"/>
              </w:rPr>
              <w:t>Check insurance cover in place annually</w:t>
            </w:r>
          </w:p>
        </w:tc>
      </w:tr>
      <w:tr w:rsidR="0062177D" w14:paraId="7DD9DA40" w14:textId="77777777">
        <w:trPr>
          <w:trHeight w:val="682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BEAB2" w14:textId="77777777" w:rsidR="0062177D" w:rsidRDefault="00000000">
            <w:pPr>
              <w:spacing w:after="0"/>
              <w:ind w:left="160"/>
            </w:pPr>
            <w:r>
              <w:rPr>
                <w:sz w:val="28"/>
              </w:rPr>
              <w:t>Staff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7976A" w14:textId="77777777" w:rsidR="0062177D" w:rsidRDefault="00000000">
            <w:pPr>
              <w:spacing w:after="0"/>
              <w:ind w:left="120" w:firstLine="10"/>
            </w:pPr>
            <w:r>
              <w:rPr>
                <w:sz w:val="26"/>
              </w:rPr>
              <w:t>Loss of key personnel (Clerk)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894F3" w14:textId="77777777" w:rsidR="0062177D" w:rsidRDefault="0062177D"/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70724" w14:textId="77777777" w:rsidR="0062177D" w:rsidRDefault="00000000">
            <w:pPr>
              <w:spacing w:after="0"/>
              <w:ind w:left="86"/>
            </w:pPr>
            <w:r>
              <w:rPr>
                <w:sz w:val="26"/>
              </w:rPr>
              <w:t>Be aware of possibility</w:t>
            </w:r>
          </w:p>
        </w:tc>
      </w:tr>
      <w:tr w:rsidR="0062177D" w14:paraId="6A0098BD" w14:textId="77777777">
        <w:trPr>
          <w:trHeight w:val="826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6B1ED" w14:textId="77777777" w:rsidR="0062177D" w:rsidRDefault="00000000">
            <w:pPr>
              <w:spacing w:after="0"/>
              <w:ind w:left="146"/>
            </w:pPr>
            <w:r>
              <w:rPr>
                <w:sz w:val="28"/>
              </w:rPr>
              <w:t>Staff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4A180" w14:textId="77777777" w:rsidR="0062177D" w:rsidRDefault="00000000">
            <w:pPr>
              <w:spacing w:after="0"/>
              <w:ind w:left="115"/>
            </w:pPr>
            <w:r>
              <w:rPr>
                <w:sz w:val="28"/>
              </w:rPr>
              <w:t>Fraud or theft by RFO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45B28" w14:textId="77777777" w:rsidR="0062177D" w:rsidRDefault="0062177D"/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D516" w14:textId="77777777" w:rsidR="0062177D" w:rsidRDefault="00000000">
            <w:pPr>
              <w:spacing w:after="0"/>
              <w:ind w:left="48" w:firstLine="24"/>
            </w:pPr>
            <w:r>
              <w:rPr>
                <w:sz w:val="26"/>
              </w:rPr>
              <w:t>Ensure fidelity guarantee value adequate throughout the ear</w:t>
            </w:r>
          </w:p>
        </w:tc>
      </w:tr>
      <w:tr w:rsidR="0062177D" w14:paraId="341BAAD7" w14:textId="77777777">
        <w:trPr>
          <w:trHeight w:val="682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06C25" w14:textId="77777777" w:rsidR="0062177D" w:rsidRDefault="0062177D"/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186FB" w14:textId="77777777" w:rsidR="0062177D" w:rsidRDefault="0062177D"/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4263A" w14:textId="77777777" w:rsidR="0062177D" w:rsidRDefault="0062177D"/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B26C8" w14:textId="77777777" w:rsidR="0062177D" w:rsidRDefault="0062177D"/>
        </w:tc>
      </w:tr>
      <w:tr w:rsidR="0062177D" w14:paraId="342125F3" w14:textId="77777777">
        <w:trPr>
          <w:trHeight w:val="667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5BEF7" w14:textId="77777777" w:rsidR="0062177D" w:rsidRDefault="00000000">
            <w:pPr>
              <w:spacing w:after="0"/>
              <w:ind w:left="127"/>
            </w:pPr>
            <w:r>
              <w:rPr>
                <w:sz w:val="32"/>
              </w:rPr>
              <w:t>Financial Controls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BE0CC" w14:textId="77777777" w:rsidR="0062177D" w:rsidRDefault="00000000">
            <w:pPr>
              <w:spacing w:after="0"/>
              <w:ind w:left="96"/>
            </w:pPr>
            <w:r>
              <w:rPr>
                <w:sz w:val="34"/>
              </w:rPr>
              <w:t>Risk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BCE7F" w14:textId="77777777" w:rsidR="0062177D" w:rsidRDefault="0062177D"/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DB68E" w14:textId="77777777" w:rsidR="0062177D" w:rsidRDefault="00000000">
            <w:pPr>
              <w:spacing w:after="0"/>
              <w:ind w:left="43"/>
            </w:pPr>
            <w:r>
              <w:rPr>
                <w:sz w:val="30"/>
              </w:rPr>
              <w:t>Control</w:t>
            </w:r>
          </w:p>
        </w:tc>
      </w:tr>
      <w:tr w:rsidR="0062177D" w14:paraId="1A43469E" w14:textId="77777777">
        <w:trPr>
          <w:trHeight w:val="837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9B63D" w14:textId="77777777" w:rsidR="0062177D" w:rsidRDefault="00000000">
            <w:pPr>
              <w:spacing w:after="0"/>
              <w:ind w:left="103"/>
            </w:pPr>
            <w:r>
              <w:rPr>
                <w:sz w:val="28"/>
              </w:rPr>
              <w:t>Reserves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12FA1" w14:textId="77777777" w:rsidR="0062177D" w:rsidRDefault="00000000">
            <w:pPr>
              <w:spacing w:after="0"/>
              <w:ind w:left="77" w:firstLine="10"/>
            </w:pPr>
            <w:r>
              <w:rPr>
                <w:sz w:val="26"/>
              </w:rPr>
              <w:t>Inadequate to meet requirements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D1BDD" w14:textId="77777777" w:rsidR="0062177D" w:rsidRDefault="0062177D"/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2C81A" w14:textId="74E3AF57" w:rsidR="0062177D" w:rsidRDefault="00000000">
            <w:pPr>
              <w:spacing w:after="0"/>
              <w:ind w:left="29" w:right="72" w:firstLine="14"/>
              <w:jc w:val="both"/>
            </w:pPr>
            <w:r>
              <w:rPr>
                <w:sz w:val="26"/>
              </w:rPr>
              <w:t>Reserve amount should be considered at budget settin</w:t>
            </w:r>
            <w:r w:rsidR="007202E2">
              <w:rPr>
                <w:sz w:val="26"/>
              </w:rPr>
              <w:t>g</w:t>
            </w:r>
          </w:p>
        </w:tc>
      </w:tr>
      <w:tr w:rsidR="0062177D" w14:paraId="1C103C75" w14:textId="77777777">
        <w:trPr>
          <w:trHeight w:val="680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8E594" w14:textId="77777777" w:rsidR="0062177D" w:rsidRDefault="00000000">
            <w:pPr>
              <w:spacing w:after="0"/>
              <w:ind w:left="88"/>
            </w:pPr>
            <w:r>
              <w:rPr>
                <w:sz w:val="28"/>
              </w:rPr>
              <w:lastRenderedPageBreak/>
              <w:t>Legal Powers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C31DC" w14:textId="77777777" w:rsidR="0062177D" w:rsidRDefault="00000000">
            <w:pPr>
              <w:spacing w:after="0"/>
              <w:ind w:left="67"/>
            </w:pPr>
            <w:r>
              <w:rPr>
                <w:sz w:val="26"/>
              </w:rPr>
              <w:t>Illegal activity or payments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1AF9E" w14:textId="77777777" w:rsidR="0062177D" w:rsidRDefault="0062177D"/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336A" w14:textId="77777777" w:rsidR="0062177D" w:rsidRDefault="00000000">
            <w:pPr>
              <w:spacing w:after="0"/>
              <w:ind w:left="14" w:firstLine="19"/>
              <w:jc w:val="both"/>
            </w:pPr>
            <w:r>
              <w:rPr>
                <w:sz w:val="26"/>
              </w:rPr>
              <w:t>Council should understand their legal powers</w:t>
            </w:r>
          </w:p>
        </w:tc>
      </w:tr>
      <w:tr w:rsidR="0062177D" w14:paraId="249D9F02" w14:textId="77777777">
        <w:trPr>
          <w:trHeight w:val="688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C0AE7" w14:textId="77777777" w:rsidR="0062177D" w:rsidRDefault="00000000">
            <w:pPr>
              <w:spacing w:after="0"/>
              <w:ind w:left="74"/>
            </w:pPr>
            <w:r>
              <w:rPr>
                <w:sz w:val="28"/>
              </w:rPr>
              <w:t>Financial Records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B14D0" w14:textId="77777777" w:rsidR="0062177D" w:rsidRDefault="00000000">
            <w:pPr>
              <w:spacing w:after="0"/>
              <w:ind w:left="58"/>
            </w:pPr>
            <w:r>
              <w:rPr>
                <w:sz w:val="26"/>
              </w:rPr>
              <w:t>Inadequate records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A41B0" w14:textId="77777777" w:rsidR="0062177D" w:rsidRDefault="0062177D"/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6B36A" w14:textId="368BF509" w:rsidR="0062177D" w:rsidRDefault="00000000">
            <w:pPr>
              <w:spacing w:after="0"/>
              <w:ind w:left="19" w:hanging="14"/>
              <w:jc w:val="both"/>
            </w:pPr>
            <w:r>
              <w:rPr>
                <w:sz w:val="28"/>
              </w:rPr>
              <w:t xml:space="preserve">Annual </w:t>
            </w:r>
            <w:r w:rsidR="007202E2">
              <w:rPr>
                <w:sz w:val="28"/>
              </w:rPr>
              <w:t>Internal</w:t>
            </w:r>
            <w:r>
              <w:rPr>
                <w:sz w:val="28"/>
              </w:rPr>
              <w:t xml:space="preserve"> audit and regular RFO checks</w:t>
            </w:r>
          </w:p>
        </w:tc>
      </w:tr>
      <w:tr w:rsidR="0062177D" w14:paraId="54A068C6" w14:textId="77777777">
        <w:trPr>
          <w:trHeight w:val="685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9DDBA" w14:textId="77777777" w:rsidR="0062177D" w:rsidRDefault="00000000">
            <w:pPr>
              <w:spacing w:after="0"/>
              <w:ind w:left="55"/>
            </w:pPr>
            <w:r>
              <w:rPr>
                <w:sz w:val="26"/>
              </w:rPr>
              <w:t>Minutes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C05C9" w14:textId="77777777" w:rsidR="0062177D" w:rsidRDefault="00000000">
            <w:pPr>
              <w:spacing w:after="0"/>
              <w:ind w:left="19"/>
            </w:pPr>
            <w:r>
              <w:rPr>
                <w:sz w:val="26"/>
              </w:rPr>
              <w:t>Accurate and legal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6A1FF" w14:textId="77777777" w:rsidR="0062177D" w:rsidRDefault="0062177D"/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9365" w14:textId="77777777" w:rsidR="0062177D" w:rsidRDefault="00000000">
            <w:pPr>
              <w:spacing w:after="0"/>
              <w:ind w:left="10" w:firstLine="10"/>
            </w:pPr>
            <w:r>
              <w:rPr>
                <w:sz w:val="28"/>
              </w:rPr>
              <w:t>Reviewed at following meeting and signed</w:t>
            </w:r>
          </w:p>
        </w:tc>
      </w:tr>
      <w:tr w:rsidR="0062177D" w14:paraId="7956455C" w14:textId="77777777">
        <w:trPr>
          <w:trHeight w:val="732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06107" w14:textId="77777777" w:rsidR="0062177D" w:rsidRDefault="00000000">
            <w:pPr>
              <w:spacing w:after="0"/>
              <w:ind w:left="26"/>
            </w:pPr>
            <w:r>
              <w:rPr>
                <w:sz w:val="32"/>
              </w:rPr>
              <w:t>VAT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70F00" w14:textId="77777777" w:rsidR="0062177D" w:rsidRDefault="00000000">
            <w:pPr>
              <w:spacing w:after="0"/>
              <w:ind w:left="29"/>
            </w:pPr>
            <w:r>
              <w:rPr>
                <w:sz w:val="26"/>
              </w:rPr>
              <w:t>Not recovered in time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75B74" w14:textId="77777777" w:rsidR="0062177D" w:rsidRDefault="0062177D"/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C2C90" w14:textId="77777777" w:rsidR="0062177D" w:rsidRDefault="00000000">
            <w:pPr>
              <w:spacing w:after="0"/>
              <w:ind w:left="-14" w:firstLine="10"/>
            </w:pPr>
            <w:r>
              <w:rPr>
                <w:sz w:val="26"/>
              </w:rPr>
              <w:t>VAT should be reclaimed when applicable</w:t>
            </w:r>
          </w:p>
        </w:tc>
      </w:tr>
    </w:tbl>
    <w:p w14:paraId="7DAFCB56" w14:textId="77777777" w:rsidR="0062177D" w:rsidRDefault="00000000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CBDBA97" wp14:editId="75AC2558">
            <wp:simplePos x="0" y="0"/>
            <wp:positionH relativeFrom="page">
              <wp:posOffset>658554</wp:posOffset>
            </wp:positionH>
            <wp:positionV relativeFrom="page">
              <wp:posOffset>448184</wp:posOffset>
            </wp:positionV>
            <wp:extent cx="3049" cy="3049"/>
            <wp:effectExtent l="0" t="0" r="0" b="0"/>
            <wp:wrapSquare wrapText="bothSides"/>
            <wp:docPr id="4922" name="Picture 4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2" name="Picture 49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Risk Assessment Review</w:t>
      </w:r>
    </w:p>
    <w:tbl>
      <w:tblPr>
        <w:tblStyle w:val="TableGrid"/>
        <w:tblW w:w="9538" w:type="dxa"/>
        <w:tblInd w:w="-187" w:type="dxa"/>
        <w:tblCellMar>
          <w:top w:w="16" w:type="dxa"/>
          <w:left w:w="35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3201"/>
        <w:gridCol w:w="3245"/>
        <w:gridCol w:w="3092"/>
      </w:tblGrid>
      <w:tr w:rsidR="0062177D" w14:paraId="4B434624" w14:textId="77777777" w:rsidTr="007202E2">
        <w:trPr>
          <w:trHeight w:val="850"/>
        </w:trPr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89841" w14:textId="77777777" w:rsidR="0062177D" w:rsidRDefault="00000000">
            <w:pPr>
              <w:spacing w:after="0"/>
              <w:ind w:left="94"/>
            </w:pPr>
            <w:r>
              <w:rPr>
                <w:sz w:val="28"/>
              </w:rPr>
              <w:t>Precept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5D2C0" w14:textId="77777777" w:rsidR="0062177D" w:rsidRDefault="00000000">
            <w:pPr>
              <w:spacing w:after="0"/>
              <w:ind w:left="80" w:firstLine="5"/>
            </w:pPr>
            <w:r>
              <w:rPr>
                <w:sz w:val="28"/>
              </w:rPr>
              <w:t>Not submitted or not adequate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2E120" w14:textId="0A7042CB" w:rsidR="0062177D" w:rsidRDefault="00000000">
            <w:pPr>
              <w:spacing w:after="0"/>
              <w:ind w:left="15" w:right="144" w:hanging="5"/>
              <w:jc w:val="both"/>
            </w:pPr>
            <w:r>
              <w:rPr>
                <w:sz w:val="28"/>
              </w:rPr>
              <w:t xml:space="preserve">Council to ensure precept requested according to </w:t>
            </w:r>
            <w:r w:rsidR="007202E2" w:rsidRPr="007202E2">
              <w:rPr>
                <w:sz w:val="28"/>
                <w:szCs w:val="28"/>
              </w:rPr>
              <w:t>p</w:t>
            </w:r>
            <w:r w:rsidRPr="007202E2">
              <w:rPr>
                <w:sz w:val="28"/>
                <w:szCs w:val="28"/>
              </w:rPr>
              <w:t>re</w:t>
            </w:r>
            <w:r w:rsidR="007202E2" w:rsidRPr="007202E2">
              <w:rPr>
                <w:noProof/>
                <w:sz w:val="28"/>
                <w:szCs w:val="28"/>
              </w:rPr>
              <w:t>p</w:t>
            </w:r>
            <w:r w:rsidR="007202E2">
              <w:rPr>
                <w:noProof/>
                <w:sz w:val="28"/>
                <w:szCs w:val="28"/>
              </w:rPr>
              <w:t>a</w:t>
            </w:r>
            <w:r w:rsidRPr="007202E2">
              <w:rPr>
                <w:sz w:val="28"/>
                <w:szCs w:val="28"/>
              </w:rPr>
              <w:t>red</w:t>
            </w:r>
            <w:r>
              <w:rPr>
                <w:sz w:val="28"/>
              </w:rPr>
              <w:t xml:space="preserve"> bud</w:t>
            </w:r>
            <w:r w:rsidR="007202E2">
              <w:rPr>
                <w:sz w:val="28"/>
              </w:rPr>
              <w:t>g</w:t>
            </w:r>
            <w:r>
              <w:rPr>
                <w:sz w:val="28"/>
              </w:rPr>
              <w:t>et</w:t>
            </w:r>
          </w:p>
        </w:tc>
      </w:tr>
      <w:tr w:rsidR="0062177D" w14:paraId="0451C76D" w14:textId="77777777" w:rsidTr="007202E2">
        <w:trPr>
          <w:trHeight w:val="709"/>
        </w:trPr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206E" w14:textId="77777777" w:rsidR="0062177D" w:rsidRDefault="00000000">
            <w:pPr>
              <w:spacing w:after="0"/>
              <w:ind w:left="89"/>
            </w:pPr>
            <w:r>
              <w:rPr>
                <w:sz w:val="28"/>
              </w:rPr>
              <w:t>Standing Orders and</w:t>
            </w:r>
          </w:p>
          <w:p w14:paraId="07E3EBB0" w14:textId="77777777" w:rsidR="0062177D" w:rsidRDefault="00000000">
            <w:pPr>
              <w:spacing w:after="0"/>
              <w:ind w:left="89"/>
            </w:pPr>
            <w:r>
              <w:rPr>
                <w:sz w:val="28"/>
              </w:rPr>
              <w:t>Financial Regulations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57C9A" w14:textId="77777777" w:rsidR="0062177D" w:rsidRDefault="00000000">
            <w:pPr>
              <w:spacing w:after="0"/>
              <w:ind w:left="85"/>
            </w:pPr>
            <w:r>
              <w:rPr>
                <w:sz w:val="28"/>
              </w:rPr>
              <w:t>Not reviewed or updated</w:t>
            </w:r>
          </w:p>
          <w:p w14:paraId="121A0C98" w14:textId="77777777" w:rsidR="0062177D" w:rsidRDefault="00000000">
            <w:pPr>
              <w:spacing w:after="0"/>
              <w:ind w:left="676"/>
            </w:pPr>
            <w:r>
              <w:rPr>
                <w:noProof/>
              </w:rPr>
              <w:drawing>
                <wp:inline distT="0" distB="0" distL="0" distR="0" wp14:anchorId="56B459F6" wp14:editId="5FEC1499">
                  <wp:extent cx="3049" cy="6098"/>
                  <wp:effectExtent l="0" t="0" r="0" b="0"/>
                  <wp:docPr id="4828" name="Picture 4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8" name="Picture 48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1E53C" w14:textId="77777777" w:rsidR="0062177D" w:rsidRDefault="00000000">
            <w:pPr>
              <w:spacing w:after="0" w:line="216" w:lineRule="auto"/>
              <w:ind w:left="5" w:firstLine="5"/>
              <w:jc w:val="both"/>
            </w:pPr>
            <w:r>
              <w:rPr>
                <w:sz w:val="28"/>
              </w:rPr>
              <w:t>Council to regularly review and update if necessary</w:t>
            </w:r>
          </w:p>
          <w:p w14:paraId="22A3E340" w14:textId="77777777" w:rsidR="0062177D" w:rsidRDefault="00000000">
            <w:pPr>
              <w:spacing w:after="0"/>
              <w:ind w:left="1258"/>
            </w:pPr>
            <w:r>
              <w:rPr>
                <w:noProof/>
              </w:rPr>
              <w:drawing>
                <wp:inline distT="0" distB="0" distL="0" distR="0" wp14:anchorId="7EDF1070" wp14:editId="4E86973E">
                  <wp:extent cx="3048" cy="3049"/>
                  <wp:effectExtent l="0" t="0" r="0" b="0"/>
                  <wp:docPr id="4820" name="Picture 4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0" name="Picture 48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77D" w14:paraId="08053D99" w14:textId="77777777" w:rsidTr="007202E2">
        <w:trPr>
          <w:trHeight w:val="840"/>
        </w:trPr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C446A" w14:textId="77777777" w:rsidR="0062177D" w:rsidRDefault="00000000">
            <w:pPr>
              <w:spacing w:after="0"/>
              <w:ind w:left="94"/>
            </w:pPr>
            <w:r>
              <w:rPr>
                <w:sz w:val="28"/>
              </w:rPr>
              <w:t>Income and Expenditure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9699A" w14:textId="77777777" w:rsidR="0062177D" w:rsidRDefault="00000000">
            <w:pPr>
              <w:spacing w:after="0"/>
              <w:ind w:left="85"/>
            </w:pPr>
            <w:r>
              <w:rPr>
                <w:sz w:val="30"/>
              </w:rPr>
              <w:t>Fraud or theft by RFO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523A5" w14:textId="77777777" w:rsidR="0062177D" w:rsidRDefault="00000000">
            <w:pPr>
              <w:spacing w:after="0"/>
              <w:ind w:left="10" w:right="29"/>
            </w:pPr>
            <w:r>
              <w:rPr>
                <w:sz w:val="28"/>
              </w:rPr>
              <w:t>Monthly bank reconciliation to be resented b RFO</w:t>
            </w:r>
          </w:p>
        </w:tc>
      </w:tr>
      <w:tr w:rsidR="0062177D" w14:paraId="3C28C309" w14:textId="77777777" w:rsidTr="007202E2">
        <w:trPr>
          <w:trHeight w:val="746"/>
        </w:trPr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8C317" w14:textId="77777777" w:rsidR="0062177D" w:rsidRDefault="00000000">
            <w:pPr>
              <w:spacing w:after="0"/>
              <w:ind w:left="85"/>
            </w:pPr>
            <w:r>
              <w:rPr>
                <w:sz w:val="28"/>
              </w:rPr>
              <w:t>Budgeting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11F25" w14:textId="77777777" w:rsidR="0062177D" w:rsidRDefault="00000000">
            <w:pPr>
              <w:spacing w:after="0"/>
              <w:ind w:left="76"/>
            </w:pPr>
            <w:r>
              <w:rPr>
                <w:sz w:val="28"/>
              </w:rPr>
              <w:t>Spending out of line with budget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4CDD1" w14:textId="77777777" w:rsidR="0062177D" w:rsidRDefault="00000000">
            <w:pPr>
              <w:spacing w:after="0"/>
              <w:ind w:firstLine="5"/>
              <w:jc w:val="both"/>
            </w:pPr>
            <w:r>
              <w:rPr>
                <w:sz w:val="28"/>
              </w:rPr>
              <w:t>Quarterly budget checks to be presented by RFO</w:t>
            </w:r>
          </w:p>
        </w:tc>
      </w:tr>
    </w:tbl>
    <w:p w14:paraId="02CF10A2" w14:textId="77777777" w:rsidR="0062177D" w:rsidRDefault="00000000">
      <w:pPr>
        <w:spacing w:after="0"/>
        <w:ind w:left="5167" w:right="-1325"/>
      </w:pPr>
      <w:r>
        <w:rPr>
          <w:noProof/>
        </w:rPr>
        <w:drawing>
          <wp:inline distT="0" distB="0" distL="0" distR="0" wp14:anchorId="1C64F76C" wp14:editId="6874B22A">
            <wp:extent cx="3274476" cy="1051860"/>
            <wp:effectExtent l="0" t="0" r="0" b="0"/>
            <wp:docPr id="4987" name="Picture 4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" name="Picture 49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4476" cy="10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77D">
      <w:pgSz w:w="11898" w:h="16834"/>
      <w:pgMar w:top="137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7D"/>
    <w:rsid w:val="0062177D"/>
    <w:rsid w:val="007202E2"/>
    <w:rsid w:val="00C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0784"/>
  <w15:docId w15:val="{6E13C585-988B-4137-9064-ECE23AD2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50" w:line="259" w:lineRule="auto"/>
      <w:ind w:left="-33"/>
      <w:outlineLvl w:val="0"/>
    </w:pPr>
    <w:rPr>
      <w:rFonts w:ascii="Calibri" w:eastAsia="Calibri" w:hAnsi="Calibri" w:cs="Calibri"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2025-05-08T11:58:00Z</dcterms:created>
  <dcterms:modified xsi:type="dcterms:W3CDTF">2025-05-08T11:58:00Z</dcterms:modified>
</cp:coreProperties>
</file>