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D129" w14:textId="77777777" w:rsidR="00B60E89" w:rsidRDefault="00B60E89" w:rsidP="007E4E20">
      <w:pPr>
        <w:pStyle w:val="TOC1"/>
      </w:pPr>
    </w:p>
    <w:p w14:paraId="0F733271" w14:textId="52C40347" w:rsidR="00B60E89" w:rsidRPr="008D6DB4" w:rsidRDefault="00D365AE" w:rsidP="007E4E20">
      <w:pPr>
        <w:pStyle w:val="TOC1"/>
        <w:rPr>
          <w:sz w:val="28"/>
          <w:szCs w:val="28"/>
        </w:rPr>
      </w:pPr>
      <w:r w:rsidRPr="008D6DB4">
        <w:rPr>
          <w:sz w:val="28"/>
          <w:szCs w:val="28"/>
        </w:rPr>
        <w:t xml:space="preserve">Cygnor Cymuned </w:t>
      </w:r>
      <w:r w:rsidR="007E4E20" w:rsidRPr="008D6DB4">
        <w:rPr>
          <w:sz w:val="28"/>
          <w:szCs w:val="28"/>
        </w:rPr>
        <w:t>G</w:t>
      </w:r>
      <w:r w:rsidRPr="008D6DB4">
        <w:rPr>
          <w:sz w:val="28"/>
          <w:szCs w:val="28"/>
        </w:rPr>
        <w:t>oetre</w:t>
      </w:r>
      <w:r w:rsidR="007E4E20" w:rsidRPr="008D6DB4">
        <w:rPr>
          <w:sz w:val="28"/>
          <w:szCs w:val="28"/>
        </w:rPr>
        <w:t xml:space="preserve"> Fawr Community Council </w:t>
      </w:r>
    </w:p>
    <w:p w14:paraId="5544B49D" w14:textId="77777777" w:rsidR="00B60E89" w:rsidRPr="008D6DB4" w:rsidRDefault="00B60E89" w:rsidP="007E4E20">
      <w:pPr>
        <w:pStyle w:val="TOC1"/>
        <w:rPr>
          <w:sz w:val="28"/>
          <w:szCs w:val="28"/>
        </w:rPr>
      </w:pPr>
    </w:p>
    <w:p w14:paraId="54BCDF95" w14:textId="77777777" w:rsidR="00B60E89" w:rsidRPr="008D6DB4" w:rsidRDefault="00B60E89" w:rsidP="007E4E20">
      <w:pPr>
        <w:pStyle w:val="TOC1"/>
        <w:rPr>
          <w:sz w:val="28"/>
          <w:szCs w:val="28"/>
        </w:rPr>
      </w:pPr>
    </w:p>
    <w:p w14:paraId="609EC70F" w14:textId="64A26B4B" w:rsidR="002B3AB0" w:rsidRDefault="001136E5" w:rsidP="007E4E20">
      <w:pPr>
        <w:jc w:val="center"/>
        <w:rPr>
          <w:rFonts w:ascii="Arial" w:hAnsi="Arial" w:cs="Arial"/>
          <w:b/>
          <w:sz w:val="28"/>
          <w:szCs w:val="28"/>
        </w:rPr>
      </w:pPr>
      <w:r w:rsidRPr="008D6DB4">
        <w:rPr>
          <w:rFonts w:ascii="Arial" w:hAnsi="Arial" w:cs="Arial"/>
          <w:b/>
          <w:sz w:val="28"/>
          <w:szCs w:val="28"/>
        </w:rPr>
        <w:t xml:space="preserve">GDPR - </w:t>
      </w:r>
      <w:r w:rsidR="002B3AB0" w:rsidRPr="008D6DB4">
        <w:rPr>
          <w:rFonts w:ascii="Arial" w:hAnsi="Arial" w:cs="Arial"/>
          <w:b/>
          <w:sz w:val="28"/>
          <w:szCs w:val="28"/>
        </w:rPr>
        <w:t xml:space="preserve">Retention of documents </w:t>
      </w:r>
      <w:r w:rsidR="007E4E20" w:rsidRPr="008D6DB4">
        <w:rPr>
          <w:rFonts w:ascii="Arial" w:hAnsi="Arial" w:cs="Arial"/>
          <w:b/>
          <w:sz w:val="28"/>
          <w:szCs w:val="28"/>
        </w:rPr>
        <w:t>Policy</w:t>
      </w:r>
    </w:p>
    <w:p w14:paraId="45FB169B" w14:textId="77777777" w:rsidR="008D6DB4" w:rsidRPr="008D6DB4" w:rsidRDefault="008D6DB4" w:rsidP="007E4E20">
      <w:pPr>
        <w:jc w:val="center"/>
        <w:rPr>
          <w:rFonts w:ascii="Arial" w:hAnsi="Arial" w:cs="Arial"/>
          <w:b/>
          <w:sz w:val="28"/>
          <w:szCs w:val="28"/>
        </w:rPr>
      </w:pPr>
    </w:p>
    <w:p w14:paraId="7ED85EC2" w14:textId="6843DF0A" w:rsidR="00486EBC" w:rsidRPr="008D6DB4" w:rsidRDefault="00486EBC">
      <w:pPr>
        <w:rPr>
          <w:rFonts w:ascii="Arial" w:hAnsi="Arial" w:cs="Arial"/>
          <w:b/>
          <w:sz w:val="28"/>
          <w:szCs w:val="28"/>
        </w:rPr>
      </w:pPr>
      <w:r w:rsidRPr="008D6DB4">
        <w:rPr>
          <w:rFonts w:ascii="Arial" w:hAnsi="Arial" w:cs="Arial"/>
          <w:b/>
          <w:sz w:val="28"/>
          <w:szCs w:val="28"/>
        </w:rPr>
        <w:t>Introduction</w:t>
      </w:r>
    </w:p>
    <w:p w14:paraId="53CAC0FE" w14:textId="059B2918" w:rsidR="00D365AE" w:rsidRPr="008D6DB4" w:rsidRDefault="00486EBC" w:rsidP="00486EBC">
      <w:p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8D6DB4">
        <w:rPr>
          <w:rFonts w:ascii="Arial" w:hAnsi="Arial" w:cs="Arial"/>
          <w:sz w:val="28"/>
          <w:szCs w:val="28"/>
        </w:rPr>
        <w:t>The Community Council produces and holds a range of documents</w:t>
      </w:r>
      <w:r w:rsidR="00D365AE" w:rsidRPr="008D6DB4">
        <w:rPr>
          <w:rFonts w:ascii="Arial" w:hAnsi="Arial" w:cs="Arial"/>
          <w:sz w:val="28"/>
          <w:szCs w:val="28"/>
        </w:rPr>
        <w:t>, both electronically and in paper form</w:t>
      </w:r>
      <w:r w:rsidRPr="008D6DB4">
        <w:rPr>
          <w:rFonts w:ascii="Arial" w:hAnsi="Arial" w:cs="Arial"/>
          <w:sz w:val="28"/>
          <w:szCs w:val="28"/>
        </w:rPr>
        <w:t xml:space="preserve">, </w:t>
      </w:r>
      <w:r w:rsidR="00D365AE" w:rsidRPr="008D6DB4">
        <w:rPr>
          <w:rFonts w:ascii="Arial" w:hAnsi="Arial" w:cs="Arial"/>
          <w:sz w:val="28"/>
          <w:szCs w:val="28"/>
        </w:rPr>
        <w:t xml:space="preserve">many </w:t>
      </w:r>
      <w:r w:rsidRPr="008D6DB4">
        <w:rPr>
          <w:rFonts w:ascii="Arial" w:hAnsi="Arial" w:cs="Arial"/>
          <w:sz w:val="28"/>
          <w:szCs w:val="28"/>
        </w:rPr>
        <w:t>of which are publicly available. These are freely available to view on the Community Council website</w:t>
      </w:r>
      <w:r w:rsidR="00D365AE" w:rsidRPr="008D6DB4">
        <w:rPr>
          <w:rFonts w:ascii="Arial" w:hAnsi="Arial" w:cs="Arial"/>
          <w:sz w:val="28"/>
          <w:szCs w:val="28"/>
        </w:rPr>
        <w:t xml:space="preserve">: </w:t>
      </w:r>
      <w:r w:rsidR="00D365AE" w:rsidRPr="008D6DB4">
        <w:rPr>
          <w:rStyle w:val="Hyperlink"/>
          <w:rFonts w:ascii="Arial" w:hAnsi="Arial" w:cs="Arial"/>
          <w:sz w:val="28"/>
          <w:szCs w:val="28"/>
        </w:rPr>
        <w:t xml:space="preserve">www.goytre.gov.uk </w:t>
      </w:r>
    </w:p>
    <w:p w14:paraId="4BA45176" w14:textId="29E3F7E9" w:rsidR="00486EBC" w:rsidRPr="008D6DB4" w:rsidRDefault="00F05498">
      <w:pPr>
        <w:rPr>
          <w:rFonts w:ascii="Arial" w:hAnsi="Arial" w:cs="Arial"/>
          <w:sz w:val="28"/>
          <w:szCs w:val="28"/>
        </w:rPr>
      </w:pPr>
      <w:r w:rsidRPr="008D6DB4">
        <w:rPr>
          <w:rFonts w:ascii="Arial" w:hAnsi="Arial" w:cs="Arial"/>
          <w:sz w:val="28"/>
          <w:szCs w:val="28"/>
        </w:rPr>
        <w:t>M</w:t>
      </w:r>
      <w:r w:rsidR="00785043" w:rsidRPr="008D6DB4">
        <w:rPr>
          <w:rFonts w:ascii="Arial" w:hAnsi="Arial" w:cs="Arial"/>
          <w:sz w:val="28"/>
          <w:szCs w:val="28"/>
        </w:rPr>
        <w:t>ost</w:t>
      </w:r>
      <w:r w:rsidRPr="008D6DB4">
        <w:rPr>
          <w:rFonts w:ascii="Arial" w:hAnsi="Arial" w:cs="Arial"/>
          <w:sz w:val="28"/>
          <w:szCs w:val="28"/>
        </w:rPr>
        <w:t xml:space="preserve"> of the documentation received </w:t>
      </w:r>
      <w:r w:rsidR="00D365AE" w:rsidRPr="008D6DB4">
        <w:rPr>
          <w:rFonts w:ascii="Arial" w:hAnsi="Arial" w:cs="Arial"/>
          <w:sz w:val="28"/>
          <w:szCs w:val="28"/>
        </w:rPr>
        <w:t>by the Community Council is now</w:t>
      </w:r>
      <w:r w:rsidRPr="008D6DB4">
        <w:rPr>
          <w:rFonts w:ascii="Arial" w:hAnsi="Arial" w:cs="Arial"/>
          <w:sz w:val="28"/>
          <w:szCs w:val="28"/>
        </w:rPr>
        <w:t xml:space="preserve"> via electronic means </w:t>
      </w:r>
      <w:r w:rsidR="00D365AE" w:rsidRPr="008D6DB4">
        <w:rPr>
          <w:rFonts w:ascii="Arial" w:hAnsi="Arial" w:cs="Arial"/>
          <w:sz w:val="28"/>
          <w:szCs w:val="28"/>
        </w:rPr>
        <w:t xml:space="preserve">(e-mail).  </w:t>
      </w:r>
      <w:r w:rsidR="009D567F" w:rsidRPr="008D6DB4">
        <w:rPr>
          <w:rFonts w:ascii="Arial" w:hAnsi="Arial" w:cs="Arial"/>
          <w:sz w:val="28"/>
          <w:szCs w:val="28"/>
        </w:rPr>
        <w:t>However,</w:t>
      </w:r>
      <w:r w:rsidR="00D365AE" w:rsidRPr="008D6DB4">
        <w:rPr>
          <w:rFonts w:ascii="Arial" w:hAnsi="Arial" w:cs="Arial"/>
          <w:sz w:val="28"/>
          <w:szCs w:val="28"/>
        </w:rPr>
        <w:t xml:space="preserve"> both paper and electronic copies of </w:t>
      </w:r>
      <w:r w:rsidR="009D567F" w:rsidRPr="008D6DB4">
        <w:rPr>
          <w:rFonts w:ascii="Arial" w:hAnsi="Arial" w:cs="Arial"/>
          <w:sz w:val="28"/>
          <w:szCs w:val="28"/>
        </w:rPr>
        <w:t>documents may</w:t>
      </w:r>
      <w:r w:rsidR="00486EBC" w:rsidRPr="008D6DB4">
        <w:rPr>
          <w:rFonts w:ascii="Arial" w:hAnsi="Arial" w:cs="Arial"/>
          <w:sz w:val="28"/>
          <w:szCs w:val="28"/>
        </w:rPr>
        <w:t xml:space="preserve"> be destroyed</w:t>
      </w:r>
      <w:r w:rsidR="005D52E2" w:rsidRPr="008D6DB4">
        <w:rPr>
          <w:rFonts w:ascii="Arial" w:hAnsi="Arial" w:cs="Arial"/>
          <w:sz w:val="28"/>
          <w:szCs w:val="28"/>
        </w:rPr>
        <w:t xml:space="preserve"> / deleted</w:t>
      </w:r>
      <w:r w:rsidR="00486EBC" w:rsidRPr="008D6DB4">
        <w:rPr>
          <w:rFonts w:ascii="Arial" w:hAnsi="Arial" w:cs="Arial"/>
          <w:sz w:val="28"/>
          <w:szCs w:val="28"/>
        </w:rPr>
        <w:t xml:space="preserve"> if they are no longer of use or relevant to Council business.</w:t>
      </w:r>
      <w:r w:rsidRPr="008D6DB4">
        <w:rPr>
          <w:rFonts w:ascii="Arial" w:hAnsi="Arial" w:cs="Arial"/>
          <w:sz w:val="28"/>
          <w:szCs w:val="28"/>
        </w:rPr>
        <w:t xml:space="preserve"> </w:t>
      </w:r>
      <w:r w:rsidR="002B3AB0" w:rsidRPr="008D6DB4">
        <w:rPr>
          <w:rFonts w:ascii="Arial" w:hAnsi="Arial" w:cs="Arial"/>
          <w:sz w:val="28"/>
          <w:szCs w:val="28"/>
        </w:rPr>
        <w:t xml:space="preserve"> Attached is an </w:t>
      </w:r>
      <w:r w:rsidR="00DD0EB9" w:rsidRPr="008D6DB4">
        <w:rPr>
          <w:rFonts w:ascii="Arial" w:hAnsi="Arial" w:cs="Arial"/>
          <w:sz w:val="28"/>
          <w:szCs w:val="28"/>
        </w:rPr>
        <w:t>appendix</w:t>
      </w:r>
      <w:r w:rsidR="002B3AB0" w:rsidRPr="008D6DB4">
        <w:rPr>
          <w:rFonts w:ascii="Arial" w:hAnsi="Arial" w:cs="Arial"/>
          <w:sz w:val="28"/>
          <w:szCs w:val="28"/>
        </w:rPr>
        <w:t xml:space="preserve"> indicating the appropriate minimum retention periods for the most important documents for audit and other reasons. </w:t>
      </w:r>
    </w:p>
    <w:p w14:paraId="3F2CC620" w14:textId="6F95C63D" w:rsidR="00486EBC" w:rsidRPr="008D6DB4" w:rsidRDefault="00486EBC">
      <w:pPr>
        <w:rPr>
          <w:rFonts w:ascii="Arial" w:hAnsi="Arial" w:cs="Arial"/>
          <w:b/>
          <w:sz w:val="28"/>
          <w:szCs w:val="28"/>
        </w:rPr>
      </w:pPr>
      <w:r w:rsidRPr="008D6DB4">
        <w:rPr>
          <w:rFonts w:ascii="Arial" w:hAnsi="Arial" w:cs="Arial"/>
          <w:b/>
          <w:sz w:val="28"/>
          <w:szCs w:val="28"/>
        </w:rPr>
        <w:t>Types of documents</w:t>
      </w:r>
      <w:r w:rsidR="00DD0EB9" w:rsidRPr="008D6DB4">
        <w:rPr>
          <w:rFonts w:ascii="Arial" w:hAnsi="Arial" w:cs="Arial"/>
          <w:b/>
          <w:sz w:val="28"/>
          <w:szCs w:val="28"/>
        </w:rPr>
        <w:t xml:space="preserve"> held</w:t>
      </w:r>
    </w:p>
    <w:p w14:paraId="6949755D" w14:textId="6C530A76" w:rsidR="00486EBC" w:rsidRPr="008D6DB4" w:rsidRDefault="00486EBC">
      <w:pPr>
        <w:rPr>
          <w:rFonts w:ascii="Arial" w:hAnsi="Arial" w:cs="Arial"/>
          <w:sz w:val="28"/>
          <w:szCs w:val="28"/>
        </w:rPr>
      </w:pPr>
      <w:r w:rsidRPr="008D6DB4">
        <w:rPr>
          <w:rFonts w:ascii="Arial" w:hAnsi="Arial" w:cs="Arial"/>
          <w:sz w:val="28"/>
          <w:szCs w:val="28"/>
        </w:rPr>
        <w:t>The Council holds information relating to the general business and meetings of the Community Council and receives information and documents from other organisations.</w:t>
      </w:r>
      <w:r w:rsidR="009D567F" w:rsidRPr="008D6DB4">
        <w:rPr>
          <w:rFonts w:ascii="Arial" w:hAnsi="Arial" w:cs="Arial"/>
          <w:sz w:val="28"/>
          <w:szCs w:val="28"/>
        </w:rPr>
        <w:t xml:space="preserve">  It also holds </w:t>
      </w:r>
      <w:r w:rsidRPr="008D6DB4">
        <w:rPr>
          <w:rFonts w:ascii="Arial" w:hAnsi="Arial" w:cs="Arial"/>
          <w:sz w:val="28"/>
          <w:szCs w:val="28"/>
        </w:rPr>
        <w:t>documents that relate to employment and employee</w:t>
      </w:r>
      <w:r w:rsidR="002B3AB0" w:rsidRPr="008D6DB4">
        <w:rPr>
          <w:rFonts w:ascii="Arial" w:hAnsi="Arial" w:cs="Arial"/>
          <w:sz w:val="28"/>
          <w:szCs w:val="28"/>
        </w:rPr>
        <w:t xml:space="preserve"> management, </w:t>
      </w:r>
      <w:r w:rsidRPr="008D6DB4">
        <w:rPr>
          <w:rFonts w:ascii="Arial" w:hAnsi="Arial" w:cs="Arial"/>
          <w:sz w:val="28"/>
          <w:szCs w:val="28"/>
        </w:rPr>
        <w:t>accounts, payments and audits</w:t>
      </w:r>
      <w:r w:rsidR="009D567F" w:rsidRPr="008D6DB4">
        <w:rPr>
          <w:rFonts w:ascii="Arial" w:hAnsi="Arial" w:cs="Arial"/>
          <w:sz w:val="28"/>
          <w:szCs w:val="28"/>
        </w:rPr>
        <w:t xml:space="preserve">, plus </w:t>
      </w:r>
      <w:r w:rsidRPr="008D6DB4">
        <w:rPr>
          <w:rFonts w:ascii="Arial" w:hAnsi="Arial" w:cs="Arial"/>
          <w:sz w:val="28"/>
          <w:szCs w:val="28"/>
        </w:rPr>
        <w:t xml:space="preserve">planning and highways documentation and </w:t>
      </w:r>
      <w:r w:rsidR="009D567F" w:rsidRPr="008D6DB4">
        <w:rPr>
          <w:rFonts w:ascii="Arial" w:hAnsi="Arial" w:cs="Arial"/>
          <w:sz w:val="28"/>
          <w:szCs w:val="28"/>
        </w:rPr>
        <w:t>other</w:t>
      </w:r>
      <w:r w:rsidRPr="008D6DB4">
        <w:rPr>
          <w:rFonts w:ascii="Arial" w:hAnsi="Arial" w:cs="Arial"/>
          <w:sz w:val="28"/>
          <w:szCs w:val="28"/>
        </w:rPr>
        <w:t xml:space="preserve"> matters which require consultation.</w:t>
      </w:r>
      <w:r w:rsidR="004C0678" w:rsidRPr="008D6DB4">
        <w:rPr>
          <w:rFonts w:ascii="Arial" w:hAnsi="Arial" w:cs="Arial"/>
          <w:sz w:val="28"/>
          <w:szCs w:val="28"/>
        </w:rPr>
        <w:t xml:space="preserve"> (NB All formal documents relating to planning matters can be viewed on the Monmouthshire County Council Planning or Brecon Beacons National Park Authority </w:t>
      </w:r>
      <w:r w:rsidR="00DD0EB9" w:rsidRPr="008D6DB4">
        <w:rPr>
          <w:rFonts w:ascii="Arial" w:hAnsi="Arial" w:cs="Arial"/>
          <w:sz w:val="28"/>
          <w:szCs w:val="28"/>
        </w:rPr>
        <w:t>p</w:t>
      </w:r>
      <w:r w:rsidR="004C0678" w:rsidRPr="008D6DB4">
        <w:rPr>
          <w:rFonts w:ascii="Arial" w:hAnsi="Arial" w:cs="Arial"/>
          <w:sz w:val="28"/>
          <w:szCs w:val="28"/>
        </w:rPr>
        <w:t>ortal</w:t>
      </w:r>
      <w:r w:rsidR="00DD0EB9" w:rsidRPr="008D6DB4">
        <w:rPr>
          <w:rFonts w:ascii="Arial" w:hAnsi="Arial" w:cs="Arial"/>
          <w:sz w:val="28"/>
          <w:szCs w:val="28"/>
        </w:rPr>
        <w:t>s)</w:t>
      </w:r>
      <w:r w:rsidR="004C0678" w:rsidRPr="008D6DB4">
        <w:rPr>
          <w:rFonts w:ascii="Arial" w:hAnsi="Arial" w:cs="Arial"/>
          <w:sz w:val="28"/>
          <w:szCs w:val="28"/>
        </w:rPr>
        <w:t xml:space="preserve">.  </w:t>
      </w:r>
    </w:p>
    <w:p w14:paraId="6F604251" w14:textId="0D11F524" w:rsidR="00F05498" w:rsidRPr="008D6DB4" w:rsidRDefault="00F05498">
      <w:pPr>
        <w:rPr>
          <w:rFonts w:ascii="Arial" w:hAnsi="Arial" w:cs="Arial"/>
          <w:sz w:val="28"/>
          <w:szCs w:val="28"/>
        </w:rPr>
      </w:pPr>
      <w:r w:rsidRPr="008D6DB4">
        <w:rPr>
          <w:rFonts w:ascii="Arial" w:hAnsi="Arial" w:cs="Arial"/>
          <w:sz w:val="28"/>
          <w:szCs w:val="28"/>
        </w:rPr>
        <w:t>The Community Council does not hold or store any d</w:t>
      </w:r>
      <w:r w:rsidR="002B3AB0" w:rsidRPr="008D6DB4">
        <w:rPr>
          <w:rFonts w:ascii="Arial" w:hAnsi="Arial" w:cs="Arial"/>
          <w:sz w:val="28"/>
          <w:szCs w:val="28"/>
        </w:rPr>
        <w:t>ocuments of local and</w:t>
      </w:r>
      <w:r w:rsidR="00DD0EB9" w:rsidRPr="008D6DB4">
        <w:rPr>
          <w:rFonts w:ascii="Arial" w:hAnsi="Arial" w:cs="Arial"/>
          <w:sz w:val="28"/>
          <w:szCs w:val="28"/>
        </w:rPr>
        <w:t xml:space="preserve"> /</w:t>
      </w:r>
      <w:r w:rsidR="002B3AB0" w:rsidRPr="008D6DB4">
        <w:rPr>
          <w:rFonts w:ascii="Arial" w:hAnsi="Arial" w:cs="Arial"/>
          <w:sz w:val="28"/>
          <w:szCs w:val="28"/>
        </w:rPr>
        <w:t xml:space="preserve"> or historical importance</w:t>
      </w:r>
      <w:r w:rsidRPr="008D6DB4">
        <w:rPr>
          <w:rFonts w:ascii="Arial" w:hAnsi="Arial" w:cs="Arial"/>
          <w:sz w:val="28"/>
          <w:szCs w:val="28"/>
        </w:rPr>
        <w:t>.</w:t>
      </w:r>
    </w:p>
    <w:p w14:paraId="03670C27" w14:textId="4CE13B67" w:rsidR="00B240A9" w:rsidRPr="008D6DB4" w:rsidRDefault="002B3AB0">
      <w:pPr>
        <w:rPr>
          <w:rFonts w:ascii="Arial" w:hAnsi="Arial" w:cs="Arial"/>
          <w:b/>
          <w:sz w:val="28"/>
          <w:szCs w:val="28"/>
        </w:rPr>
      </w:pPr>
      <w:r w:rsidRPr="008D6DB4">
        <w:rPr>
          <w:rFonts w:ascii="Arial" w:hAnsi="Arial" w:cs="Arial"/>
          <w:sz w:val="28"/>
          <w:szCs w:val="28"/>
        </w:rPr>
        <w:t xml:space="preserve"> </w:t>
      </w:r>
      <w:r w:rsidR="00B240A9" w:rsidRPr="008D6DB4">
        <w:rPr>
          <w:rFonts w:ascii="Arial" w:hAnsi="Arial" w:cs="Arial"/>
          <w:b/>
          <w:sz w:val="28"/>
          <w:szCs w:val="28"/>
        </w:rPr>
        <w:t>Records management</w:t>
      </w:r>
    </w:p>
    <w:p w14:paraId="79D2086E" w14:textId="71646110" w:rsidR="00B240A9" w:rsidRPr="008D6DB4" w:rsidRDefault="00B240A9">
      <w:pPr>
        <w:rPr>
          <w:rFonts w:ascii="Arial" w:hAnsi="Arial" w:cs="Arial"/>
          <w:sz w:val="28"/>
          <w:szCs w:val="28"/>
        </w:rPr>
      </w:pPr>
      <w:r w:rsidRPr="008D6DB4">
        <w:rPr>
          <w:rFonts w:ascii="Arial" w:hAnsi="Arial" w:cs="Arial"/>
          <w:sz w:val="28"/>
          <w:szCs w:val="28"/>
        </w:rPr>
        <w:t>The Council operates a paper and electronic records management system. The</w:t>
      </w:r>
      <w:r w:rsidR="00DD0EB9" w:rsidRPr="008D6DB4">
        <w:rPr>
          <w:rFonts w:ascii="Arial" w:hAnsi="Arial" w:cs="Arial"/>
          <w:sz w:val="28"/>
          <w:szCs w:val="28"/>
        </w:rPr>
        <w:t>se</w:t>
      </w:r>
      <w:r w:rsidRPr="008D6DB4">
        <w:rPr>
          <w:rFonts w:ascii="Arial" w:hAnsi="Arial" w:cs="Arial"/>
          <w:sz w:val="28"/>
          <w:szCs w:val="28"/>
        </w:rPr>
        <w:t xml:space="preserve"> records are reviewed annually.</w:t>
      </w:r>
    </w:p>
    <w:p w14:paraId="1E82F62E" w14:textId="55EEFEEC" w:rsidR="00B240A9" w:rsidRPr="008D6DB4" w:rsidRDefault="00190110">
      <w:pPr>
        <w:rPr>
          <w:rFonts w:ascii="Arial" w:hAnsi="Arial" w:cs="Arial"/>
          <w:sz w:val="28"/>
          <w:szCs w:val="28"/>
        </w:rPr>
      </w:pPr>
      <w:r w:rsidRPr="008D6DB4">
        <w:rPr>
          <w:rFonts w:ascii="Arial" w:hAnsi="Arial" w:cs="Arial"/>
          <w:sz w:val="28"/>
          <w:szCs w:val="28"/>
        </w:rPr>
        <w:t>T</w:t>
      </w:r>
      <w:r w:rsidR="00B240A9" w:rsidRPr="008D6DB4">
        <w:rPr>
          <w:rFonts w:ascii="Arial" w:hAnsi="Arial" w:cs="Arial"/>
          <w:sz w:val="28"/>
          <w:szCs w:val="28"/>
        </w:rPr>
        <w:t>he storage and security of, access to and disposal of both paper and electronic records</w:t>
      </w:r>
      <w:r w:rsidRPr="008D6DB4">
        <w:rPr>
          <w:rFonts w:ascii="Arial" w:hAnsi="Arial" w:cs="Arial"/>
          <w:sz w:val="28"/>
          <w:szCs w:val="28"/>
        </w:rPr>
        <w:t xml:space="preserve"> is reviewed annually by the Clerk.</w:t>
      </w:r>
      <w:r w:rsidR="00B240A9" w:rsidRPr="008D6DB4">
        <w:rPr>
          <w:rFonts w:ascii="Arial" w:hAnsi="Arial" w:cs="Arial"/>
          <w:sz w:val="28"/>
          <w:szCs w:val="28"/>
        </w:rPr>
        <w:t xml:space="preserve"> </w:t>
      </w:r>
    </w:p>
    <w:p w14:paraId="0769CC7B" w14:textId="2DCBE643" w:rsidR="00B240A9" w:rsidRPr="008D6DB4" w:rsidRDefault="00BD44D1">
      <w:pPr>
        <w:rPr>
          <w:rFonts w:ascii="Arial" w:hAnsi="Arial" w:cs="Arial"/>
          <w:sz w:val="28"/>
          <w:szCs w:val="28"/>
        </w:rPr>
      </w:pPr>
      <w:r w:rsidRPr="008D6DB4">
        <w:rPr>
          <w:rFonts w:ascii="Arial" w:hAnsi="Arial" w:cs="Arial"/>
          <w:sz w:val="28"/>
          <w:szCs w:val="28"/>
        </w:rPr>
        <w:t>The policy will be subject to review every 3 years or earlier if legislation amends and</w:t>
      </w:r>
      <w:r w:rsidR="00F96B87" w:rsidRPr="008D6DB4">
        <w:rPr>
          <w:rFonts w:ascii="Arial" w:hAnsi="Arial" w:cs="Arial"/>
          <w:sz w:val="28"/>
          <w:szCs w:val="28"/>
        </w:rPr>
        <w:t xml:space="preserve">/ or </w:t>
      </w:r>
      <w:r w:rsidRPr="008D6DB4">
        <w:rPr>
          <w:rFonts w:ascii="Arial" w:hAnsi="Arial" w:cs="Arial"/>
          <w:sz w:val="28"/>
          <w:szCs w:val="28"/>
        </w:rPr>
        <w:t>updates</w:t>
      </w:r>
      <w:r w:rsidR="00F96B87" w:rsidRPr="008D6DB4">
        <w:rPr>
          <w:rFonts w:ascii="Arial" w:hAnsi="Arial" w:cs="Arial"/>
          <w:sz w:val="28"/>
          <w:szCs w:val="28"/>
        </w:rPr>
        <w:t xml:space="preserve"> the relevant guidance</w:t>
      </w:r>
      <w:r w:rsidRPr="008D6DB4">
        <w:rPr>
          <w:rFonts w:ascii="Arial" w:hAnsi="Arial" w:cs="Arial"/>
          <w:sz w:val="28"/>
          <w:szCs w:val="28"/>
        </w:rPr>
        <w:t>.</w:t>
      </w:r>
    </w:p>
    <w:p w14:paraId="651C4168" w14:textId="79F5BBE3" w:rsidR="00190110" w:rsidRPr="008D6DB4" w:rsidRDefault="00190110">
      <w:pPr>
        <w:rPr>
          <w:rFonts w:ascii="Arial" w:hAnsi="Arial" w:cs="Arial"/>
          <w:b/>
          <w:sz w:val="28"/>
          <w:szCs w:val="28"/>
        </w:rPr>
      </w:pPr>
      <w:r w:rsidRPr="008D6DB4">
        <w:rPr>
          <w:rFonts w:ascii="Arial" w:hAnsi="Arial" w:cs="Arial"/>
          <w:b/>
          <w:sz w:val="28"/>
          <w:szCs w:val="28"/>
        </w:rPr>
        <w:lastRenderedPageBreak/>
        <w:t>A</w:t>
      </w:r>
      <w:r w:rsidR="00DD0EB9" w:rsidRPr="008D6DB4">
        <w:rPr>
          <w:rFonts w:ascii="Arial" w:hAnsi="Arial" w:cs="Arial"/>
          <w:b/>
          <w:sz w:val="28"/>
          <w:szCs w:val="28"/>
        </w:rPr>
        <w:t>ppendix</w:t>
      </w:r>
      <w:r w:rsidRPr="008D6DB4">
        <w:rPr>
          <w:rFonts w:ascii="Arial" w:hAnsi="Arial" w:cs="Arial"/>
          <w:b/>
          <w:sz w:val="28"/>
          <w:szCs w:val="28"/>
        </w:rPr>
        <w:t xml:space="preserve"> 1</w:t>
      </w:r>
    </w:p>
    <w:p w14:paraId="505ED9D2" w14:textId="2AFE39A5" w:rsidR="006011D8" w:rsidRPr="008D6DB4" w:rsidRDefault="00B240A9" w:rsidP="003F5183">
      <w:pPr>
        <w:jc w:val="center"/>
        <w:rPr>
          <w:rFonts w:ascii="Arial" w:hAnsi="Arial" w:cs="Arial"/>
          <w:b/>
          <w:sz w:val="28"/>
          <w:szCs w:val="28"/>
        </w:rPr>
      </w:pPr>
      <w:r w:rsidRPr="008D6DB4">
        <w:rPr>
          <w:rFonts w:ascii="Arial" w:hAnsi="Arial" w:cs="Arial"/>
          <w:b/>
          <w:sz w:val="28"/>
          <w:szCs w:val="28"/>
        </w:rPr>
        <w:t>RETENTION OF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11D8" w:rsidRPr="008D6DB4" w14:paraId="64847D29" w14:textId="77777777" w:rsidTr="006011D8">
        <w:tc>
          <w:tcPr>
            <w:tcW w:w="3005" w:type="dxa"/>
          </w:tcPr>
          <w:p w14:paraId="7BE8D673" w14:textId="1D36BA1E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3005" w:type="dxa"/>
          </w:tcPr>
          <w:p w14:paraId="2E77FA6E" w14:textId="0FE975A0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 RETENTION PERIOD</w:t>
            </w:r>
          </w:p>
        </w:tc>
        <w:tc>
          <w:tcPr>
            <w:tcW w:w="3006" w:type="dxa"/>
          </w:tcPr>
          <w:p w14:paraId="4BCF2327" w14:textId="420B951C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Arial" w:hAnsi="Arial" w:cs="Arial"/>
                <w:b/>
                <w:sz w:val="28"/>
                <w:szCs w:val="28"/>
              </w:rPr>
              <w:t>REASON</w:t>
            </w:r>
          </w:p>
        </w:tc>
      </w:tr>
      <w:tr w:rsidR="006011D8" w:rsidRPr="008D6DB4" w14:paraId="3EF02597" w14:textId="77777777" w:rsidTr="006011D8">
        <w:tc>
          <w:tcPr>
            <w:tcW w:w="3005" w:type="dxa"/>
          </w:tcPr>
          <w:p w14:paraId="49C2809C" w14:textId="0C86ED99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Minute books</w:t>
            </w:r>
          </w:p>
        </w:tc>
        <w:tc>
          <w:tcPr>
            <w:tcW w:w="3005" w:type="dxa"/>
          </w:tcPr>
          <w:p w14:paraId="45CCBE08" w14:textId="136A3599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Indefinite</w:t>
            </w:r>
          </w:p>
        </w:tc>
        <w:tc>
          <w:tcPr>
            <w:tcW w:w="3006" w:type="dxa"/>
          </w:tcPr>
          <w:p w14:paraId="5AA31F2F" w14:textId="7B803959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Archive</w:t>
            </w:r>
          </w:p>
        </w:tc>
      </w:tr>
      <w:tr w:rsidR="006011D8" w:rsidRPr="008D6DB4" w14:paraId="3739F64D" w14:textId="77777777" w:rsidTr="006011D8">
        <w:tc>
          <w:tcPr>
            <w:tcW w:w="3005" w:type="dxa"/>
          </w:tcPr>
          <w:p w14:paraId="0BC393ED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Scales of fees and</w:t>
            </w:r>
          </w:p>
          <w:p w14:paraId="1DDEF1B1" w14:textId="79D581D8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charges</w:t>
            </w:r>
          </w:p>
        </w:tc>
        <w:tc>
          <w:tcPr>
            <w:tcW w:w="3005" w:type="dxa"/>
          </w:tcPr>
          <w:p w14:paraId="0CEAD2FE" w14:textId="12107780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2B350E29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Management</w:t>
            </w:r>
          </w:p>
          <w:p w14:paraId="27AD1CE3" w14:textId="77777777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11D8" w:rsidRPr="008D6DB4" w14:paraId="67DB7ADB" w14:textId="77777777" w:rsidTr="006011D8">
        <w:tc>
          <w:tcPr>
            <w:tcW w:w="3005" w:type="dxa"/>
          </w:tcPr>
          <w:p w14:paraId="1A2B7BA7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Receipt and payment</w:t>
            </w:r>
          </w:p>
          <w:p w14:paraId="45AAA68A" w14:textId="7DD6B0C8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account(s)</w:t>
            </w:r>
          </w:p>
        </w:tc>
        <w:tc>
          <w:tcPr>
            <w:tcW w:w="3005" w:type="dxa"/>
          </w:tcPr>
          <w:p w14:paraId="1918B265" w14:textId="3F1099DE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Indefinite</w:t>
            </w:r>
          </w:p>
          <w:p w14:paraId="3EC3C94F" w14:textId="77777777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780EB8FB" w14:textId="7AEBB595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Archive</w:t>
            </w:r>
          </w:p>
        </w:tc>
      </w:tr>
      <w:tr w:rsidR="006011D8" w:rsidRPr="008D6DB4" w14:paraId="40776376" w14:textId="77777777" w:rsidTr="006011D8">
        <w:tc>
          <w:tcPr>
            <w:tcW w:w="3005" w:type="dxa"/>
          </w:tcPr>
          <w:p w14:paraId="12B3F66A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Receipt books of all</w:t>
            </w:r>
          </w:p>
          <w:p w14:paraId="6A04FF32" w14:textId="0EE3382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kinds</w:t>
            </w:r>
          </w:p>
        </w:tc>
        <w:tc>
          <w:tcPr>
            <w:tcW w:w="3005" w:type="dxa"/>
          </w:tcPr>
          <w:p w14:paraId="5CBF009F" w14:textId="2AD1A45B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4E1DF84A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VAT</w:t>
            </w:r>
          </w:p>
          <w:p w14:paraId="2687BD56" w14:textId="77777777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11D8" w:rsidRPr="008D6DB4" w14:paraId="2903A6EE" w14:textId="77777777" w:rsidTr="006011D8">
        <w:tc>
          <w:tcPr>
            <w:tcW w:w="3005" w:type="dxa"/>
          </w:tcPr>
          <w:p w14:paraId="49374C4C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Bank statements,</w:t>
            </w:r>
          </w:p>
          <w:p w14:paraId="6976C990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including</w:t>
            </w:r>
          </w:p>
          <w:p w14:paraId="0D1F7DDF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deposit/savings</w:t>
            </w:r>
          </w:p>
          <w:p w14:paraId="3F2F69D4" w14:textId="3DEDED3C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accounts</w:t>
            </w:r>
          </w:p>
        </w:tc>
        <w:tc>
          <w:tcPr>
            <w:tcW w:w="3005" w:type="dxa"/>
          </w:tcPr>
          <w:p w14:paraId="18FBBA31" w14:textId="397C801D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Last completed audit year</w:t>
            </w:r>
          </w:p>
        </w:tc>
        <w:tc>
          <w:tcPr>
            <w:tcW w:w="3006" w:type="dxa"/>
          </w:tcPr>
          <w:p w14:paraId="5340ADD0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</w:t>
            </w:r>
          </w:p>
          <w:p w14:paraId="0C22AAEB" w14:textId="77777777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11D8" w:rsidRPr="008D6DB4" w14:paraId="6ADD44C8" w14:textId="77777777" w:rsidTr="006011D8">
        <w:tc>
          <w:tcPr>
            <w:tcW w:w="3005" w:type="dxa"/>
          </w:tcPr>
          <w:p w14:paraId="0C27BCB9" w14:textId="63FDA4AB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Bank paying-in books</w:t>
            </w:r>
          </w:p>
        </w:tc>
        <w:tc>
          <w:tcPr>
            <w:tcW w:w="3005" w:type="dxa"/>
          </w:tcPr>
          <w:p w14:paraId="6B7FCAE3" w14:textId="7058385C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Last completed audit year</w:t>
            </w:r>
          </w:p>
        </w:tc>
        <w:tc>
          <w:tcPr>
            <w:tcW w:w="3006" w:type="dxa"/>
          </w:tcPr>
          <w:p w14:paraId="209763D2" w14:textId="5DCE483A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</w:t>
            </w:r>
          </w:p>
        </w:tc>
      </w:tr>
      <w:tr w:rsidR="006011D8" w:rsidRPr="008D6DB4" w14:paraId="33987E3D" w14:textId="77777777" w:rsidTr="006011D8">
        <w:tc>
          <w:tcPr>
            <w:tcW w:w="3005" w:type="dxa"/>
          </w:tcPr>
          <w:p w14:paraId="45A49029" w14:textId="645936E8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Cheque book stubs</w:t>
            </w:r>
          </w:p>
        </w:tc>
        <w:tc>
          <w:tcPr>
            <w:tcW w:w="3005" w:type="dxa"/>
          </w:tcPr>
          <w:p w14:paraId="553B5720" w14:textId="69FF3DE3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Last completed audit year</w:t>
            </w:r>
          </w:p>
        </w:tc>
        <w:tc>
          <w:tcPr>
            <w:tcW w:w="3006" w:type="dxa"/>
          </w:tcPr>
          <w:p w14:paraId="608A457C" w14:textId="23AA6229" w:rsidR="006011D8" w:rsidRPr="008D6DB4" w:rsidRDefault="006011D8" w:rsidP="00917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</w:t>
            </w:r>
          </w:p>
        </w:tc>
      </w:tr>
      <w:tr w:rsidR="006011D8" w:rsidRPr="008D6DB4" w14:paraId="5AE5EB63" w14:textId="77777777" w:rsidTr="00C5607D">
        <w:tc>
          <w:tcPr>
            <w:tcW w:w="3005" w:type="dxa"/>
          </w:tcPr>
          <w:p w14:paraId="607DF04B" w14:textId="7D7DF985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Quotations and tenders</w:t>
            </w:r>
          </w:p>
        </w:tc>
        <w:tc>
          <w:tcPr>
            <w:tcW w:w="3005" w:type="dxa"/>
          </w:tcPr>
          <w:p w14:paraId="5A7855FF" w14:textId="344B4056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11362B10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Limitation Act 1980 (as</w:t>
            </w:r>
          </w:p>
          <w:p w14:paraId="5587EEED" w14:textId="6BB2F20F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amended)</w:t>
            </w:r>
          </w:p>
        </w:tc>
      </w:tr>
      <w:tr w:rsidR="006011D8" w:rsidRPr="008D6DB4" w14:paraId="5EE33821" w14:textId="77777777" w:rsidTr="00C5607D">
        <w:tc>
          <w:tcPr>
            <w:tcW w:w="3005" w:type="dxa"/>
          </w:tcPr>
          <w:p w14:paraId="41842761" w14:textId="7AAC4E7A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Paid invoices</w:t>
            </w:r>
          </w:p>
        </w:tc>
        <w:tc>
          <w:tcPr>
            <w:tcW w:w="3005" w:type="dxa"/>
          </w:tcPr>
          <w:p w14:paraId="05E79C18" w14:textId="536F3196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215BEEC1" w14:textId="0482B3FD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VAT</w:t>
            </w:r>
          </w:p>
        </w:tc>
      </w:tr>
      <w:tr w:rsidR="006011D8" w:rsidRPr="008D6DB4" w14:paraId="0B6C8516" w14:textId="77777777" w:rsidTr="00C5607D">
        <w:tc>
          <w:tcPr>
            <w:tcW w:w="3005" w:type="dxa"/>
          </w:tcPr>
          <w:p w14:paraId="4DED37E8" w14:textId="3DED76CC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Paid cheques</w:t>
            </w:r>
          </w:p>
        </w:tc>
        <w:tc>
          <w:tcPr>
            <w:tcW w:w="3005" w:type="dxa"/>
          </w:tcPr>
          <w:p w14:paraId="2086AB08" w14:textId="6EA85121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03F32A77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Limitation Act 1980 (as</w:t>
            </w:r>
          </w:p>
          <w:p w14:paraId="695C0D06" w14:textId="4AFD0C6E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amended)</w:t>
            </w:r>
          </w:p>
        </w:tc>
      </w:tr>
      <w:tr w:rsidR="006011D8" w:rsidRPr="008D6DB4" w14:paraId="5EDB9130" w14:textId="77777777" w:rsidTr="00C5607D">
        <w:tc>
          <w:tcPr>
            <w:tcW w:w="3005" w:type="dxa"/>
          </w:tcPr>
          <w:p w14:paraId="5D3A51AA" w14:textId="71B8BD07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VAT records</w:t>
            </w:r>
          </w:p>
        </w:tc>
        <w:tc>
          <w:tcPr>
            <w:tcW w:w="3005" w:type="dxa"/>
          </w:tcPr>
          <w:p w14:paraId="142690A9" w14:textId="78BEE1F9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 generally but</w:t>
            </w:r>
          </w:p>
          <w:p w14:paraId="215BDB33" w14:textId="68D2AFDA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20 years for VAT on rents</w:t>
            </w:r>
          </w:p>
        </w:tc>
        <w:tc>
          <w:tcPr>
            <w:tcW w:w="3006" w:type="dxa"/>
          </w:tcPr>
          <w:p w14:paraId="5BF4F158" w14:textId="7E6C23F3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VAT</w:t>
            </w:r>
          </w:p>
        </w:tc>
      </w:tr>
      <w:tr w:rsidR="006011D8" w:rsidRPr="008D6DB4" w14:paraId="23889E05" w14:textId="77777777" w:rsidTr="00C5607D">
        <w:tc>
          <w:tcPr>
            <w:tcW w:w="3005" w:type="dxa"/>
          </w:tcPr>
          <w:p w14:paraId="0FC99785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Petty cash, postage and</w:t>
            </w:r>
          </w:p>
          <w:p w14:paraId="43C68183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telephone books</w:t>
            </w:r>
          </w:p>
          <w:p w14:paraId="285DBE93" w14:textId="77777777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F64C29A" w14:textId="431E74C6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26CBEE29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Tax, VAT, Limitation Act 1980</w:t>
            </w:r>
          </w:p>
          <w:p w14:paraId="478A666F" w14:textId="75B11A81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(as amended)</w:t>
            </w:r>
          </w:p>
        </w:tc>
      </w:tr>
      <w:tr w:rsidR="006011D8" w:rsidRPr="008D6DB4" w14:paraId="3CD32910" w14:textId="77777777" w:rsidTr="006011D8">
        <w:tc>
          <w:tcPr>
            <w:tcW w:w="3005" w:type="dxa"/>
          </w:tcPr>
          <w:p w14:paraId="1AC6C3C1" w14:textId="1DD5F434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Timesheets</w:t>
            </w:r>
          </w:p>
        </w:tc>
        <w:tc>
          <w:tcPr>
            <w:tcW w:w="3005" w:type="dxa"/>
          </w:tcPr>
          <w:p w14:paraId="72A77D8C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Last completed audit year</w:t>
            </w:r>
          </w:p>
          <w:p w14:paraId="214172B8" w14:textId="66DACAEB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3 years</w:t>
            </w:r>
          </w:p>
          <w:p w14:paraId="56507E61" w14:textId="3B348262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CC44DE8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 (requirement)</w:t>
            </w:r>
          </w:p>
          <w:p w14:paraId="690D4313" w14:textId="2652BEAD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Personal injury (best practice)</w:t>
            </w:r>
          </w:p>
        </w:tc>
      </w:tr>
      <w:tr w:rsidR="006011D8" w:rsidRPr="008D6DB4" w14:paraId="6DFD92B6" w14:textId="77777777" w:rsidTr="006011D8">
        <w:tc>
          <w:tcPr>
            <w:tcW w:w="3005" w:type="dxa"/>
          </w:tcPr>
          <w:p w14:paraId="26846059" w14:textId="790CD0DC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Wages books</w:t>
            </w:r>
            <w:r w:rsidR="0091794C" w:rsidRPr="008D6DB4">
              <w:rPr>
                <w:rFonts w:ascii="Helvetica" w:hAnsi="Helvetica" w:cs="Helvetica"/>
                <w:sz w:val="28"/>
                <w:szCs w:val="28"/>
              </w:rPr>
              <w:t xml:space="preserve"> (payroll)</w:t>
            </w:r>
          </w:p>
        </w:tc>
        <w:tc>
          <w:tcPr>
            <w:tcW w:w="3005" w:type="dxa"/>
          </w:tcPr>
          <w:p w14:paraId="3F7109CD" w14:textId="63D51818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12 years</w:t>
            </w:r>
          </w:p>
        </w:tc>
        <w:tc>
          <w:tcPr>
            <w:tcW w:w="3006" w:type="dxa"/>
          </w:tcPr>
          <w:p w14:paraId="6E91E4A5" w14:textId="1B5D3311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Superannuation</w:t>
            </w:r>
          </w:p>
        </w:tc>
      </w:tr>
      <w:tr w:rsidR="006011D8" w:rsidRPr="008D6DB4" w14:paraId="4FD55910" w14:textId="77777777" w:rsidTr="006011D8">
        <w:tc>
          <w:tcPr>
            <w:tcW w:w="3005" w:type="dxa"/>
          </w:tcPr>
          <w:p w14:paraId="423FF974" w14:textId="23436597" w:rsidR="006011D8" w:rsidRPr="008D6DB4" w:rsidRDefault="006011D8" w:rsidP="0091794C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Insurance policies</w:t>
            </w:r>
          </w:p>
        </w:tc>
        <w:tc>
          <w:tcPr>
            <w:tcW w:w="3005" w:type="dxa"/>
          </w:tcPr>
          <w:p w14:paraId="2B51BA7F" w14:textId="6235448E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While valid</w:t>
            </w:r>
          </w:p>
        </w:tc>
        <w:tc>
          <w:tcPr>
            <w:tcW w:w="3006" w:type="dxa"/>
          </w:tcPr>
          <w:p w14:paraId="796C6E6E" w14:textId="5ACF06F1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Management</w:t>
            </w:r>
          </w:p>
        </w:tc>
      </w:tr>
      <w:tr w:rsidR="006011D8" w:rsidRPr="008D6DB4" w14:paraId="5A2A379C" w14:textId="77777777" w:rsidTr="006011D8">
        <w:tc>
          <w:tcPr>
            <w:tcW w:w="3005" w:type="dxa"/>
          </w:tcPr>
          <w:p w14:paraId="196984BF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Certificates for</w:t>
            </w:r>
          </w:p>
          <w:p w14:paraId="00165447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Insurance against</w:t>
            </w:r>
          </w:p>
          <w:p w14:paraId="73ABE6CE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lastRenderedPageBreak/>
              <w:t>liability for employees</w:t>
            </w:r>
          </w:p>
          <w:p w14:paraId="7758BFBC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The Employers’ Liability</w:t>
            </w:r>
          </w:p>
          <w:p w14:paraId="4C4B945F" w14:textId="4F69B768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(Compulsory Insurance)</w:t>
            </w:r>
          </w:p>
        </w:tc>
        <w:tc>
          <w:tcPr>
            <w:tcW w:w="3005" w:type="dxa"/>
          </w:tcPr>
          <w:p w14:paraId="586465E6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lastRenderedPageBreak/>
              <w:t>40 years from date on which</w:t>
            </w:r>
          </w:p>
          <w:p w14:paraId="1EA60D56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lastRenderedPageBreak/>
              <w:t>insurance commenced or</w:t>
            </w:r>
          </w:p>
          <w:p w14:paraId="635A5B7B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was renewed</w:t>
            </w:r>
          </w:p>
          <w:p w14:paraId="0A87F03C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6660E8E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lastRenderedPageBreak/>
              <w:t>Regulations 1998 (SI. 2753),</w:t>
            </w:r>
          </w:p>
          <w:p w14:paraId="24495493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lastRenderedPageBreak/>
              <w:t>Management.</w:t>
            </w:r>
          </w:p>
          <w:p w14:paraId="1C17DA9B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6011D8" w:rsidRPr="008D6DB4" w14:paraId="560CD47C" w14:textId="77777777" w:rsidTr="006011D8">
        <w:tc>
          <w:tcPr>
            <w:tcW w:w="3005" w:type="dxa"/>
          </w:tcPr>
          <w:p w14:paraId="7E81EFC1" w14:textId="20930393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lastRenderedPageBreak/>
              <w:t>Investments</w:t>
            </w:r>
          </w:p>
        </w:tc>
        <w:tc>
          <w:tcPr>
            <w:tcW w:w="3005" w:type="dxa"/>
          </w:tcPr>
          <w:p w14:paraId="59D7A949" w14:textId="3F7C79EF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Indefinite</w:t>
            </w:r>
          </w:p>
        </w:tc>
        <w:tc>
          <w:tcPr>
            <w:tcW w:w="3006" w:type="dxa"/>
          </w:tcPr>
          <w:p w14:paraId="41863E32" w14:textId="24E9679F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Audit, Management</w:t>
            </w:r>
          </w:p>
        </w:tc>
      </w:tr>
      <w:tr w:rsidR="006011D8" w:rsidRPr="008D6DB4" w14:paraId="72444FED" w14:textId="77777777" w:rsidTr="006011D8">
        <w:tc>
          <w:tcPr>
            <w:tcW w:w="3005" w:type="dxa"/>
          </w:tcPr>
          <w:p w14:paraId="26EF4305" w14:textId="7777777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Title deeds, leases,</w:t>
            </w:r>
          </w:p>
          <w:p w14:paraId="7984E3AC" w14:textId="25ADF257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agreements, contracts</w:t>
            </w:r>
          </w:p>
        </w:tc>
        <w:tc>
          <w:tcPr>
            <w:tcW w:w="3005" w:type="dxa"/>
          </w:tcPr>
          <w:p w14:paraId="7A1F4480" w14:textId="42FCDDCB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Indefinite</w:t>
            </w:r>
          </w:p>
        </w:tc>
        <w:tc>
          <w:tcPr>
            <w:tcW w:w="3006" w:type="dxa"/>
          </w:tcPr>
          <w:p w14:paraId="1C93EEFE" w14:textId="6EDE2C4C" w:rsidR="006011D8" w:rsidRPr="008D6DB4" w:rsidRDefault="006011D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Audit, Management</w:t>
            </w:r>
          </w:p>
        </w:tc>
      </w:tr>
      <w:tr w:rsidR="0091794C" w:rsidRPr="008D6DB4" w14:paraId="59B5DB1E" w14:textId="77777777" w:rsidTr="00C5607D">
        <w:tc>
          <w:tcPr>
            <w:tcW w:w="3005" w:type="dxa"/>
          </w:tcPr>
          <w:p w14:paraId="1E3AB5C8" w14:textId="3F6871C4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Arial" w:hAnsi="Arial" w:cs="Arial"/>
                <w:sz w:val="28"/>
                <w:szCs w:val="28"/>
              </w:rPr>
              <w:t>Previous audits</w:t>
            </w:r>
          </w:p>
        </w:tc>
        <w:tc>
          <w:tcPr>
            <w:tcW w:w="3005" w:type="dxa"/>
          </w:tcPr>
          <w:p w14:paraId="4D5C8DA6" w14:textId="2E762C26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Indefinite</w:t>
            </w:r>
          </w:p>
        </w:tc>
        <w:tc>
          <w:tcPr>
            <w:tcW w:w="3006" w:type="dxa"/>
          </w:tcPr>
          <w:p w14:paraId="72B30AE5" w14:textId="068885D9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Audit, Management</w:t>
            </w:r>
          </w:p>
        </w:tc>
      </w:tr>
      <w:tr w:rsidR="0091794C" w:rsidRPr="008D6DB4" w14:paraId="49A963CE" w14:textId="77777777" w:rsidTr="00C5607D">
        <w:tc>
          <w:tcPr>
            <w:tcW w:w="3005" w:type="dxa"/>
          </w:tcPr>
          <w:p w14:paraId="30A3E557" w14:textId="4DF2B4BB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Arial" w:hAnsi="Arial" w:cs="Arial"/>
                <w:sz w:val="28"/>
                <w:szCs w:val="28"/>
              </w:rPr>
              <w:t>Members</w:t>
            </w:r>
            <w:r w:rsidR="00236166" w:rsidRPr="008D6DB4">
              <w:rPr>
                <w:rFonts w:ascii="Arial" w:hAnsi="Arial" w:cs="Arial"/>
                <w:sz w:val="28"/>
                <w:szCs w:val="28"/>
              </w:rPr>
              <w:t>’</w:t>
            </w:r>
            <w:r w:rsidRPr="008D6DB4">
              <w:rPr>
                <w:rFonts w:ascii="Arial" w:hAnsi="Arial" w:cs="Arial"/>
                <w:sz w:val="28"/>
                <w:szCs w:val="28"/>
              </w:rPr>
              <w:t xml:space="preserve"> allowances register</w:t>
            </w:r>
          </w:p>
        </w:tc>
        <w:tc>
          <w:tcPr>
            <w:tcW w:w="3005" w:type="dxa"/>
          </w:tcPr>
          <w:p w14:paraId="1AA21379" w14:textId="0F0D7916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56D1CCC4" w14:textId="2720E5A2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Audit, Management</w:t>
            </w:r>
          </w:p>
        </w:tc>
      </w:tr>
      <w:tr w:rsidR="0091794C" w:rsidRPr="008D6DB4" w14:paraId="2D6FFC60" w14:textId="77777777" w:rsidTr="00C5607D">
        <w:tc>
          <w:tcPr>
            <w:tcW w:w="3005" w:type="dxa"/>
          </w:tcPr>
          <w:p w14:paraId="02669F32" w14:textId="73F31325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Arial" w:hAnsi="Arial" w:cs="Arial"/>
                <w:sz w:val="28"/>
                <w:szCs w:val="28"/>
              </w:rPr>
              <w:t>Members</w:t>
            </w:r>
            <w:r w:rsidR="00236166" w:rsidRPr="008D6DB4">
              <w:rPr>
                <w:rFonts w:ascii="Arial" w:hAnsi="Arial" w:cs="Arial"/>
                <w:sz w:val="28"/>
                <w:szCs w:val="28"/>
              </w:rPr>
              <w:t>’</w:t>
            </w:r>
            <w:r w:rsidRPr="008D6DB4">
              <w:rPr>
                <w:rFonts w:ascii="Arial" w:hAnsi="Arial" w:cs="Arial"/>
                <w:sz w:val="28"/>
                <w:szCs w:val="28"/>
              </w:rPr>
              <w:t xml:space="preserve"> interests</w:t>
            </w:r>
          </w:p>
        </w:tc>
        <w:tc>
          <w:tcPr>
            <w:tcW w:w="3005" w:type="dxa"/>
          </w:tcPr>
          <w:p w14:paraId="35F5EDF9" w14:textId="12EB01A9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36B734C3" w14:textId="34163D9C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Audit, Management</w:t>
            </w:r>
          </w:p>
        </w:tc>
      </w:tr>
      <w:tr w:rsidR="0091794C" w:rsidRPr="008D6DB4" w14:paraId="7556F2C6" w14:textId="77777777" w:rsidTr="006011D8">
        <w:tc>
          <w:tcPr>
            <w:tcW w:w="3005" w:type="dxa"/>
          </w:tcPr>
          <w:p w14:paraId="0E475278" w14:textId="4DCE022F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Sundry paper / e-mail correspondence</w:t>
            </w:r>
          </w:p>
        </w:tc>
        <w:tc>
          <w:tcPr>
            <w:tcW w:w="3005" w:type="dxa"/>
          </w:tcPr>
          <w:p w14:paraId="61338222" w14:textId="4F1A8FEF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 years</w:t>
            </w:r>
          </w:p>
        </w:tc>
        <w:tc>
          <w:tcPr>
            <w:tcW w:w="3006" w:type="dxa"/>
          </w:tcPr>
          <w:p w14:paraId="10144991" w14:textId="55F9E994" w:rsidR="0091794C" w:rsidRPr="008D6DB4" w:rsidRDefault="0091794C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Management</w:t>
            </w:r>
          </w:p>
        </w:tc>
      </w:tr>
      <w:tr w:rsidR="00755F79" w:rsidRPr="008D6DB4" w14:paraId="788DA179" w14:textId="77777777" w:rsidTr="006011D8">
        <w:tc>
          <w:tcPr>
            <w:tcW w:w="3005" w:type="dxa"/>
          </w:tcPr>
          <w:p w14:paraId="471BB931" w14:textId="024D6E96" w:rsidR="00755F79" w:rsidRPr="008D6DB4" w:rsidRDefault="00755F79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CCTV (Downloaded)</w:t>
            </w:r>
            <w:r w:rsidR="00F96B87" w:rsidRPr="008D6DB4">
              <w:rPr>
                <w:rFonts w:ascii="Helvetica" w:hAnsi="Helvetica" w:cs="Helvetica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14:paraId="0D9C7734" w14:textId="3CD79D9E" w:rsidR="00755F79" w:rsidRPr="008D6DB4" w:rsidRDefault="00E74078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6</w:t>
            </w:r>
            <w:r w:rsidR="00755F79" w:rsidRPr="008D6DB4">
              <w:rPr>
                <w:rFonts w:ascii="Helvetica" w:hAnsi="Helvetica" w:cs="Helvetica"/>
                <w:sz w:val="28"/>
                <w:szCs w:val="28"/>
              </w:rPr>
              <w:t xml:space="preserve"> weeks</w:t>
            </w:r>
          </w:p>
        </w:tc>
        <w:tc>
          <w:tcPr>
            <w:tcW w:w="3006" w:type="dxa"/>
          </w:tcPr>
          <w:p w14:paraId="4695B6AB" w14:textId="5C890EB5" w:rsidR="00755F79" w:rsidRPr="008D6DB4" w:rsidRDefault="00755F79" w:rsidP="0091794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8D6DB4">
              <w:rPr>
                <w:rFonts w:ascii="Helvetica" w:hAnsi="Helvetica" w:cs="Helvetica"/>
                <w:sz w:val="28"/>
                <w:szCs w:val="28"/>
              </w:rPr>
              <w:t>Police Liaison</w:t>
            </w:r>
          </w:p>
        </w:tc>
      </w:tr>
    </w:tbl>
    <w:p w14:paraId="2516B58D" w14:textId="5E8925B2" w:rsidR="004C0678" w:rsidRPr="008D6DB4" w:rsidRDefault="004C0678" w:rsidP="0091794C">
      <w:pPr>
        <w:spacing w:before="120" w:after="240"/>
        <w:rPr>
          <w:rFonts w:ascii="Arial" w:hAnsi="Arial" w:cs="Arial"/>
          <w:sz w:val="28"/>
          <w:szCs w:val="28"/>
        </w:rPr>
      </w:pPr>
    </w:p>
    <w:sectPr w:rsidR="004C0678" w:rsidRPr="008D6D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A2A1" w14:textId="77777777" w:rsidR="00BB73E1" w:rsidRDefault="00BB73E1" w:rsidP="00B46292">
      <w:pPr>
        <w:spacing w:after="0" w:line="240" w:lineRule="auto"/>
      </w:pPr>
      <w:r>
        <w:separator/>
      </w:r>
    </w:p>
  </w:endnote>
  <w:endnote w:type="continuationSeparator" w:id="0">
    <w:p w14:paraId="7184535B" w14:textId="77777777" w:rsidR="00BB73E1" w:rsidRDefault="00BB73E1" w:rsidP="00B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96215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D87484" w14:textId="0B3D4F25" w:rsidR="00B46292" w:rsidRDefault="00B462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66C75" w14:textId="77777777" w:rsidR="00B46292" w:rsidRDefault="00B4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A4FD6" w14:textId="77777777" w:rsidR="00BB73E1" w:rsidRDefault="00BB73E1" w:rsidP="00B46292">
      <w:pPr>
        <w:spacing w:after="0" w:line="240" w:lineRule="auto"/>
      </w:pPr>
      <w:r>
        <w:separator/>
      </w:r>
    </w:p>
  </w:footnote>
  <w:footnote w:type="continuationSeparator" w:id="0">
    <w:p w14:paraId="2FDDF37D" w14:textId="77777777" w:rsidR="00BB73E1" w:rsidRDefault="00BB73E1" w:rsidP="00B4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528A5"/>
    <w:multiLevelType w:val="hybridMultilevel"/>
    <w:tmpl w:val="0AA24580"/>
    <w:lvl w:ilvl="0" w:tplc="5B181F10">
      <w:numFmt w:val="bullet"/>
      <w:lvlText w:val="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6282"/>
    <w:multiLevelType w:val="hybridMultilevel"/>
    <w:tmpl w:val="D9FE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5414"/>
    <w:multiLevelType w:val="hybridMultilevel"/>
    <w:tmpl w:val="8CA4F076"/>
    <w:lvl w:ilvl="0" w:tplc="5B181F10">
      <w:numFmt w:val="bullet"/>
      <w:lvlText w:val="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0FEF"/>
    <w:multiLevelType w:val="hybridMultilevel"/>
    <w:tmpl w:val="CAE65930"/>
    <w:lvl w:ilvl="0" w:tplc="5B181F10">
      <w:numFmt w:val="bullet"/>
      <w:lvlText w:val="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4DC5"/>
    <w:multiLevelType w:val="hybridMultilevel"/>
    <w:tmpl w:val="7BF4E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40A34"/>
    <w:multiLevelType w:val="hybridMultilevel"/>
    <w:tmpl w:val="5264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026D"/>
    <w:multiLevelType w:val="hybridMultilevel"/>
    <w:tmpl w:val="9D7045A8"/>
    <w:lvl w:ilvl="0" w:tplc="5B181F10">
      <w:numFmt w:val="bullet"/>
      <w:lvlText w:val="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78gJY+L4OVPQYekI+A/UB0kgUsWXEGbpNVnO25lbTf5+k6dUlHP7Q1rFmGpYrAUXoP8KDaLbZFNeUgNyWoUt7w==" w:salt="CtZ4grnGXjXqMli52Y+WF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89"/>
    <w:rsid w:val="000A596C"/>
    <w:rsid w:val="001136E5"/>
    <w:rsid w:val="00190110"/>
    <w:rsid w:val="001F3CBB"/>
    <w:rsid w:val="00236166"/>
    <w:rsid w:val="002B3AB0"/>
    <w:rsid w:val="003F5183"/>
    <w:rsid w:val="00486EBC"/>
    <w:rsid w:val="004C0678"/>
    <w:rsid w:val="0056328B"/>
    <w:rsid w:val="005A728A"/>
    <w:rsid w:val="005D52E2"/>
    <w:rsid w:val="006011D8"/>
    <w:rsid w:val="00755F79"/>
    <w:rsid w:val="00785043"/>
    <w:rsid w:val="007E4E20"/>
    <w:rsid w:val="00886F52"/>
    <w:rsid w:val="008D6DB4"/>
    <w:rsid w:val="0091794C"/>
    <w:rsid w:val="009D567F"/>
    <w:rsid w:val="009D6E8A"/>
    <w:rsid w:val="00A16EF8"/>
    <w:rsid w:val="00A45D01"/>
    <w:rsid w:val="00B240A9"/>
    <w:rsid w:val="00B46292"/>
    <w:rsid w:val="00B60E89"/>
    <w:rsid w:val="00B7509A"/>
    <w:rsid w:val="00BB73E1"/>
    <w:rsid w:val="00BD44D1"/>
    <w:rsid w:val="00D365AE"/>
    <w:rsid w:val="00DD0EB9"/>
    <w:rsid w:val="00E533E8"/>
    <w:rsid w:val="00E74078"/>
    <w:rsid w:val="00F05498"/>
    <w:rsid w:val="00F96B87"/>
    <w:rsid w:val="00F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E0C9"/>
  <w15:chartTrackingRefBased/>
  <w15:docId w15:val="{A896DD10-BBD6-4432-94DB-C4D76B1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0E8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E4E20"/>
    <w:pPr>
      <w:tabs>
        <w:tab w:val="left" w:pos="8505"/>
      </w:tabs>
      <w:spacing w:after="0" w:line="240" w:lineRule="auto"/>
      <w:ind w:left="720" w:hanging="720"/>
      <w:jc w:val="center"/>
    </w:pPr>
    <w:rPr>
      <w:rFonts w:ascii="Arial" w:eastAsia="Times New Roman" w:hAnsi="Arial" w:cs="Arial"/>
      <w:b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504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292"/>
  </w:style>
  <w:style w:type="paragraph" w:styleId="Footer">
    <w:name w:val="footer"/>
    <w:basedOn w:val="Normal"/>
    <w:link w:val="FooterChar"/>
    <w:uiPriority w:val="99"/>
    <w:unhideWhenUsed/>
    <w:rsid w:val="00B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292"/>
  </w:style>
  <w:style w:type="paragraph" w:styleId="ListParagraph">
    <w:name w:val="List Paragraph"/>
    <w:basedOn w:val="Normal"/>
    <w:uiPriority w:val="34"/>
    <w:qFormat/>
    <w:rsid w:val="003F5183"/>
    <w:pPr>
      <w:ind w:left="720"/>
      <w:contextualSpacing/>
    </w:pPr>
  </w:style>
  <w:style w:type="table" w:styleId="TableGrid">
    <w:name w:val="Table Grid"/>
    <w:basedOn w:val="TableNormal"/>
    <w:uiPriority w:val="39"/>
    <w:rsid w:val="0060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20D9-D9D5-4657-8903-E9160B05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</dc:creator>
  <cp:keywords/>
  <dc:description/>
  <cp:lastModifiedBy>Jonathan Lazenby</cp:lastModifiedBy>
  <cp:revision>3</cp:revision>
  <dcterms:created xsi:type="dcterms:W3CDTF">2021-01-14T12:38:00Z</dcterms:created>
  <dcterms:modified xsi:type="dcterms:W3CDTF">2021-01-14T12:39:00Z</dcterms:modified>
</cp:coreProperties>
</file>