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60EFF" w14:textId="77777777" w:rsidR="0046492C" w:rsidRDefault="0046492C" w:rsidP="0046492C">
      <w:pPr>
        <w:pStyle w:val="Title"/>
        <w:jc w:val="left"/>
        <w:rPr>
          <w:rFonts w:eastAsiaTheme="minorEastAsia"/>
          <w:noProof/>
        </w:rPr>
      </w:pPr>
      <w:r w:rsidRPr="0046492C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2A54E9D" wp14:editId="4A1E4C5C">
                <wp:simplePos x="0" y="0"/>
                <wp:positionH relativeFrom="column">
                  <wp:posOffset>97155</wp:posOffset>
                </wp:positionH>
                <wp:positionV relativeFrom="paragraph">
                  <wp:posOffset>0</wp:posOffset>
                </wp:positionV>
                <wp:extent cx="1663065" cy="1760220"/>
                <wp:effectExtent l="0" t="0" r="0" b="0"/>
                <wp:wrapThrough wrapText="bothSides">
                  <wp:wrapPolygon edited="0">
                    <wp:start x="0" y="0"/>
                    <wp:lineTo x="0" y="21273"/>
                    <wp:lineTo x="21278" y="21273"/>
                    <wp:lineTo x="21278" y="0"/>
                    <wp:lineTo x="0" y="0"/>
                  </wp:wrapPolygon>
                </wp:wrapThrough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065" cy="176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48E70" w14:textId="77777777" w:rsidR="0046492C" w:rsidRDefault="0046492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CB710F" wp14:editId="11D9D8EF">
                                  <wp:extent cx="1543686" cy="1711582"/>
                                  <wp:effectExtent l="0" t="0" r="0" b="3175"/>
                                  <wp:docPr id="1" name="Picture 1" descr="goetre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goetre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1927" cy="17207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A54E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.65pt;margin-top:0;width:130.95pt;height:138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" stroked="f">
                <v:textbox>
                  <w:txbxContent>
                    <w:p w14:paraId="5A148E70" w14:textId="77777777" w:rsidR="0046492C" w:rsidRDefault="0046492C">
                      <w:r>
                        <w:rPr>
                          <w:noProof/>
                        </w:rPr>
                        <w:drawing>
                          <wp:inline distT="0" distB="0" distL="0" distR="0" wp14:anchorId="2DCB710F" wp14:editId="11D9D8EF">
                            <wp:extent cx="1543686" cy="1711582"/>
                            <wp:effectExtent l="0" t="0" r="0" b="3175"/>
                            <wp:docPr id="1" name="Picture 1" descr="goetre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goetre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1927" cy="17207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eastAsiaTheme="minorEastAsia"/>
          <w:noProof/>
        </w:rPr>
        <w:t xml:space="preserve">        </w:t>
      </w:r>
    </w:p>
    <w:p w14:paraId="7A1A1025" w14:textId="77777777" w:rsidR="0046492C" w:rsidRPr="0046492C" w:rsidRDefault="0046492C" w:rsidP="0046492C">
      <w:pPr>
        <w:pStyle w:val="Title"/>
        <w:jc w:val="left"/>
        <w:rPr>
          <w:rFonts w:eastAsiaTheme="minorEastAsia"/>
          <w:noProof/>
          <w:sz w:val="36"/>
          <w:szCs w:val="36"/>
        </w:rPr>
      </w:pPr>
      <w:r>
        <w:rPr>
          <w:rFonts w:eastAsiaTheme="minorEastAsia"/>
          <w:noProof/>
          <w:sz w:val="36"/>
          <w:szCs w:val="36"/>
        </w:rPr>
        <w:t xml:space="preserve">      </w:t>
      </w:r>
      <w:r w:rsidRPr="0046492C">
        <w:rPr>
          <w:rFonts w:eastAsiaTheme="minorEastAsia"/>
          <w:noProof/>
          <w:sz w:val="36"/>
          <w:szCs w:val="36"/>
        </w:rPr>
        <w:t>CYNGOR CYMUNED</w:t>
      </w:r>
    </w:p>
    <w:p w14:paraId="54EA4E88" w14:textId="77777777" w:rsidR="0046492C" w:rsidRPr="0046492C" w:rsidRDefault="0046492C" w:rsidP="0046492C">
      <w:pPr>
        <w:pStyle w:val="Title"/>
        <w:jc w:val="left"/>
        <w:rPr>
          <w:sz w:val="36"/>
          <w:szCs w:val="36"/>
        </w:rPr>
      </w:pPr>
      <w:r>
        <w:rPr>
          <w:sz w:val="36"/>
          <w:szCs w:val="36"/>
        </w:rPr>
        <w:t xml:space="preserve">       </w:t>
      </w:r>
      <w:r w:rsidRPr="0046492C">
        <w:rPr>
          <w:sz w:val="44"/>
          <w:szCs w:val="44"/>
        </w:rPr>
        <w:t>GOETRE FAWR</w:t>
      </w:r>
    </w:p>
    <w:p w14:paraId="1C76FC60" w14:textId="77539CE8" w:rsidR="00940D92" w:rsidRDefault="0046492C" w:rsidP="005252D1">
      <w:pPr>
        <w:pStyle w:val="Title"/>
        <w:jc w:val="left"/>
        <w:rPr>
          <w:rFonts w:eastAsiaTheme="minorEastAsia"/>
          <w:noProof/>
          <w:sz w:val="36"/>
          <w:szCs w:val="36"/>
        </w:rPr>
      </w:pPr>
      <w:r>
        <w:rPr>
          <w:rFonts w:eastAsiaTheme="minorEastAsia"/>
          <w:noProof/>
          <w:sz w:val="36"/>
          <w:szCs w:val="36"/>
        </w:rPr>
        <w:t xml:space="preserve">    </w:t>
      </w:r>
      <w:r w:rsidRPr="0046492C">
        <w:rPr>
          <w:rFonts w:eastAsiaTheme="minorEastAsia"/>
          <w:noProof/>
          <w:sz w:val="36"/>
          <w:szCs w:val="36"/>
        </w:rPr>
        <w:t>COMMUNITY COUNCI</w:t>
      </w:r>
      <w:r w:rsidR="00940D92">
        <w:rPr>
          <w:rFonts w:eastAsiaTheme="minorEastAsia"/>
          <w:noProof/>
          <w:sz w:val="36"/>
          <w:szCs w:val="36"/>
        </w:rPr>
        <w:t>L</w:t>
      </w:r>
      <w:r w:rsidR="005252D1">
        <w:rPr>
          <w:rFonts w:ascii="Arial" w:hAnsi="Arial" w:cs="Arial"/>
        </w:rPr>
        <w:br/>
      </w:r>
    </w:p>
    <w:p w14:paraId="32230D01" w14:textId="77777777" w:rsidR="005252D1" w:rsidRPr="005252D1" w:rsidRDefault="005252D1" w:rsidP="005252D1">
      <w:pPr>
        <w:jc w:val="center"/>
      </w:pPr>
    </w:p>
    <w:p w14:paraId="0EB77A8E" w14:textId="057D49A7" w:rsidR="00940D92" w:rsidRPr="00940D92" w:rsidRDefault="005252D1" w:rsidP="005252D1">
      <w:pPr>
        <w:pStyle w:val="NormalWeb"/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GRAZING RIGHTS</w:t>
      </w:r>
    </w:p>
    <w:p w14:paraId="46DE3C22" w14:textId="02E46305" w:rsidR="005813B9" w:rsidRPr="00177840" w:rsidRDefault="005813B9" w:rsidP="007C78E8">
      <w:pPr>
        <w:pStyle w:val="NormalWeb"/>
        <w:jc w:val="center"/>
        <w:rPr>
          <w:rFonts w:ascii="Arial" w:hAnsi="Arial" w:cs="Arial"/>
          <w:sz w:val="32"/>
          <w:szCs w:val="32"/>
        </w:rPr>
      </w:pPr>
      <w:r w:rsidRPr="00177840">
        <w:rPr>
          <w:rFonts w:ascii="Arial" w:hAnsi="Arial" w:cs="Arial"/>
          <w:sz w:val="32"/>
          <w:szCs w:val="32"/>
        </w:rPr>
        <w:t xml:space="preserve">Level pasture land, </w:t>
      </w:r>
      <w:r w:rsidR="009B3BCC" w:rsidRPr="00177840">
        <w:rPr>
          <w:rFonts w:ascii="Arial" w:hAnsi="Arial" w:cs="Arial"/>
          <w:sz w:val="32"/>
          <w:szCs w:val="32"/>
        </w:rPr>
        <w:t xml:space="preserve">approximately 1.08 acres (0.436 ha) </w:t>
      </w:r>
      <w:r w:rsidRPr="00177840">
        <w:rPr>
          <w:rFonts w:ascii="Arial" w:hAnsi="Arial" w:cs="Arial"/>
          <w:sz w:val="32"/>
          <w:szCs w:val="32"/>
        </w:rPr>
        <w:t>in size.</w:t>
      </w:r>
    </w:p>
    <w:p w14:paraId="56B5B067" w14:textId="03BA1DB1" w:rsidR="005813B9" w:rsidRPr="00177840" w:rsidRDefault="005813B9" w:rsidP="000F600D">
      <w:pPr>
        <w:pStyle w:val="NormalWeb"/>
        <w:ind w:right="-472" w:hanging="567"/>
        <w:jc w:val="center"/>
        <w:rPr>
          <w:rFonts w:ascii="Arial" w:hAnsi="Arial" w:cs="Arial"/>
          <w:sz w:val="32"/>
          <w:szCs w:val="32"/>
        </w:rPr>
      </w:pPr>
      <w:r w:rsidRPr="00177840">
        <w:rPr>
          <w:rFonts w:ascii="Arial" w:hAnsi="Arial" w:cs="Arial"/>
          <w:sz w:val="32"/>
          <w:szCs w:val="32"/>
        </w:rPr>
        <w:t>Located near Ty Cooke Farm in Mamhilad</w:t>
      </w:r>
      <w:r w:rsidR="005252D1">
        <w:rPr>
          <w:rFonts w:ascii="Arial" w:hAnsi="Arial" w:cs="Arial"/>
          <w:sz w:val="32"/>
          <w:szCs w:val="32"/>
        </w:rPr>
        <w:t>, t</w:t>
      </w:r>
      <w:r w:rsidRPr="00177840">
        <w:rPr>
          <w:rFonts w:ascii="Arial" w:hAnsi="Arial" w:cs="Arial"/>
          <w:sz w:val="32"/>
          <w:szCs w:val="32"/>
        </w:rPr>
        <w:t xml:space="preserve">he field is enclosed by hedges, and is bordered by countryside lanes </w:t>
      </w:r>
      <w:r w:rsidR="009B3BCC" w:rsidRPr="00177840">
        <w:rPr>
          <w:rFonts w:ascii="Arial" w:hAnsi="Arial" w:cs="Arial"/>
          <w:sz w:val="32"/>
          <w:szCs w:val="32"/>
        </w:rPr>
        <w:t>on two sides and agricultural land on the remainder.  There is good access v</w:t>
      </w:r>
      <w:r w:rsidRPr="00177840">
        <w:rPr>
          <w:rFonts w:ascii="Arial" w:hAnsi="Arial" w:cs="Arial"/>
          <w:sz w:val="32"/>
          <w:szCs w:val="32"/>
        </w:rPr>
        <w:t xml:space="preserve">ia a field gate from the lane. There is </w:t>
      </w:r>
      <w:r w:rsidR="00A7377E">
        <w:rPr>
          <w:rFonts w:ascii="Arial" w:hAnsi="Arial" w:cs="Arial"/>
          <w:sz w:val="32"/>
          <w:szCs w:val="32"/>
        </w:rPr>
        <w:t xml:space="preserve">a </w:t>
      </w:r>
      <w:r w:rsidRPr="00177840">
        <w:rPr>
          <w:rFonts w:ascii="Arial" w:hAnsi="Arial" w:cs="Arial"/>
          <w:sz w:val="32"/>
          <w:szCs w:val="32"/>
        </w:rPr>
        <w:t>water supply</w:t>
      </w:r>
      <w:r w:rsidR="004C4F95">
        <w:rPr>
          <w:rFonts w:ascii="Arial" w:hAnsi="Arial" w:cs="Arial"/>
          <w:sz w:val="32"/>
          <w:szCs w:val="32"/>
        </w:rPr>
        <w:t xml:space="preserve"> </w:t>
      </w:r>
      <w:r w:rsidR="004C4F95" w:rsidRPr="004C4F95">
        <w:rPr>
          <w:rFonts w:ascii="Arial" w:hAnsi="Arial" w:cs="Arial"/>
          <w:sz w:val="32"/>
          <w:szCs w:val="32"/>
        </w:rPr>
        <w:t>(</w:t>
      </w:r>
      <w:r w:rsidR="004C4F95" w:rsidRPr="004C4F95">
        <w:rPr>
          <w:rFonts w:ascii="Arial" w:hAnsi="Arial" w:cs="Arial"/>
          <w:sz w:val="32"/>
          <w:szCs w:val="32"/>
        </w:rPr>
        <w:t>water rates</w:t>
      </w:r>
      <w:r w:rsidR="004C4F95" w:rsidRPr="004C4F95">
        <w:rPr>
          <w:rFonts w:ascii="Arial" w:hAnsi="Arial" w:cs="Arial"/>
          <w:sz w:val="32"/>
          <w:szCs w:val="32"/>
        </w:rPr>
        <w:t xml:space="preserve"> to be covered by the lessee)</w:t>
      </w:r>
      <w:r w:rsidR="004C4F95">
        <w:rPr>
          <w:rFonts w:ascii="Arial" w:hAnsi="Arial" w:cs="Arial"/>
          <w:sz w:val="32"/>
          <w:szCs w:val="32"/>
        </w:rPr>
        <w:t>,</w:t>
      </w:r>
      <w:r w:rsidRPr="00177840">
        <w:rPr>
          <w:rFonts w:ascii="Arial" w:hAnsi="Arial" w:cs="Arial"/>
          <w:sz w:val="32"/>
          <w:szCs w:val="32"/>
        </w:rPr>
        <w:t xml:space="preserve"> </w:t>
      </w:r>
      <w:r w:rsidR="00A7377E">
        <w:rPr>
          <w:rFonts w:ascii="Arial" w:hAnsi="Arial" w:cs="Arial"/>
          <w:sz w:val="32"/>
          <w:szCs w:val="32"/>
        </w:rPr>
        <w:t xml:space="preserve">with </w:t>
      </w:r>
      <w:r w:rsidR="004C4F95">
        <w:rPr>
          <w:rFonts w:ascii="Arial" w:hAnsi="Arial" w:cs="Arial"/>
          <w:sz w:val="32"/>
          <w:szCs w:val="32"/>
        </w:rPr>
        <w:t xml:space="preserve">a </w:t>
      </w:r>
      <w:r w:rsidR="00A7377E">
        <w:rPr>
          <w:rFonts w:ascii="Arial" w:hAnsi="Arial" w:cs="Arial"/>
          <w:sz w:val="32"/>
          <w:szCs w:val="32"/>
        </w:rPr>
        <w:t>drinking trough, but no</w:t>
      </w:r>
      <w:r w:rsidRPr="00177840">
        <w:rPr>
          <w:rFonts w:ascii="Arial" w:hAnsi="Arial" w:cs="Arial"/>
          <w:sz w:val="32"/>
          <w:szCs w:val="32"/>
        </w:rPr>
        <w:t xml:space="preserve"> shelter.</w:t>
      </w:r>
    </w:p>
    <w:p w14:paraId="0C7CD162" w14:textId="56E65506" w:rsidR="005252D1" w:rsidRDefault="005813B9" w:rsidP="005252D1">
      <w:pPr>
        <w:pStyle w:val="NormalWeb"/>
        <w:jc w:val="center"/>
        <w:rPr>
          <w:rFonts w:ascii="Arial" w:hAnsi="Arial" w:cs="Arial"/>
          <w:sz w:val="32"/>
          <w:szCs w:val="32"/>
        </w:rPr>
      </w:pPr>
      <w:r w:rsidRPr="00177840">
        <w:rPr>
          <w:rFonts w:ascii="Arial" w:hAnsi="Arial" w:cs="Arial"/>
          <w:sz w:val="32"/>
          <w:szCs w:val="32"/>
        </w:rPr>
        <w:t xml:space="preserve">The </w:t>
      </w:r>
      <w:r w:rsidR="005252D1">
        <w:rPr>
          <w:rFonts w:ascii="Arial" w:hAnsi="Arial" w:cs="Arial"/>
          <w:sz w:val="32"/>
          <w:szCs w:val="32"/>
        </w:rPr>
        <w:t xml:space="preserve">rights to graze on the land are being </w:t>
      </w:r>
      <w:r w:rsidRPr="00177840">
        <w:rPr>
          <w:rFonts w:ascii="Arial" w:hAnsi="Arial" w:cs="Arial"/>
          <w:sz w:val="32"/>
          <w:szCs w:val="32"/>
        </w:rPr>
        <w:t xml:space="preserve">offered on a lease </w:t>
      </w:r>
      <w:r w:rsidR="00FD3662">
        <w:rPr>
          <w:rFonts w:ascii="Arial" w:hAnsi="Arial" w:cs="Arial"/>
          <w:sz w:val="32"/>
          <w:szCs w:val="32"/>
        </w:rPr>
        <w:t>for</w:t>
      </w:r>
      <w:r w:rsidRPr="00177840">
        <w:rPr>
          <w:rFonts w:ascii="Arial" w:hAnsi="Arial" w:cs="Arial"/>
          <w:sz w:val="32"/>
          <w:szCs w:val="32"/>
        </w:rPr>
        <w:t xml:space="preserve"> </w:t>
      </w:r>
      <w:r w:rsidR="00FD3662">
        <w:rPr>
          <w:rFonts w:ascii="Arial" w:hAnsi="Arial" w:cs="Arial"/>
          <w:sz w:val="32"/>
          <w:szCs w:val="32"/>
        </w:rPr>
        <w:t>12</w:t>
      </w:r>
      <w:r w:rsidRPr="00177840">
        <w:rPr>
          <w:rFonts w:ascii="Arial" w:hAnsi="Arial" w:cs="Arial"/>
          <w:sz w:val="32"/>
          <w:szCs w:val="32"/>
        </w:rPr>
        <w:t xml:space="preserve"> mo</w:t>
      </w:r>
      <w:r w:rsidR="00E67D9B">
        <w:rPr>
          <w:rFonts w:ascii="Arial" w:hAnsi="Arial" w:cs="Arial"/>
          <w:sz w:val="32"/>
          <w:szCs w:val="32"/>
        </w:rPr>
        <w:t>nths</w:t>
      </w:r>
      <w:r w:rsidR="005252D1">
        <w:rPr>
          <w:rFonts w:ascii="Arial" w:hAnsi="Arial" w:cs="Arial"/>
          <w:sz w:val="32"/>
          <w:szCs w:val="32"/>
        </w:rPr>
        <w:t xml:space="preserve"> (364 days) at £50 per month, payable quarterly in advance (£150 per quarter). </w:t>
      </w:r>
    </w:p>
    <w:p w14:paraId="5FDD10E7" w14:textId="77777777" w:rsidR="00F23187" w:rsidRDefault="00FD3662" w:rsidP="00F23187">
      <w:pPr>
        <w:pStyle w:val="NormalWeb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Please note </w:t>
      </w:r>
      <w:r w:rsidR="00940D92" w:rsidRPr="00940D92">
        <w:rPr>
          <w:rFonts w:ascii="Arial" w:hAnsi="Arial" w:cs="Arial"/>
          <w:sz w:val="32"/>
          <w:szCs w:val="32"/>
        </w:rPr>
        <w:t>that</w:t>
      </w:r>
      <w:r w:rsidR="005252D1">
        <w:rPr>
          <w:rFonts w:ascii="Arial" w:hAnsi="Arial" w:cs="Arial"/>
          <w:sz w:val="32"/>
          <w:szCs w:val="32"/>
        </w:rPr>
        <w:t xml:space="preserve"> any</w:t>
      </w:r>
      <w:r w:rsidR="00940D92" w:rsidRPr="00940D92">
        <w:rPr>
          <w:rFonts w:ascii="Arial" w:hAnsi="Arial" w:cs="Arial"/>
          <w:sz w:val="32"/>
          <w:szCs w:val="32"/>
        </w:rPr>
        <w:t xml:space="preserve"> fence repairs </w:t>
      </w:r>
      <w:r w:rsidR="005252D1">
        <w:rPr>
          <w:rFonts w:ascii="Arial" w:hAnsi="Arial" w:cs="Arial"/>
          <w:sz w:val="32"/>
          <w:szCs w:val="32"/>
        </w:rPr>
        <w:t xml:space="preserve">which may </w:t>
      </w:r>
      <w:r w:rsidR="005252D1" w:rsidRPr="00940D92">
        <w:rPr>
          <w:rFonts w:ascii="Arial" w:hAnsi="Arial" w:cs="Arial"/>
          <w:sz w:val="32"/>
          <w:szCs w:val="32"/>
        </w:rPr>
        <w:t>be necessary to provide a secure environment for any livestock</w:t>
      </w:r>
      <w:r w:rsidR="005252D1">
        <w:rPr>
          <w:rFonts w:ascii="Arial" w:hAnsi="Arial" w:cs="Arial"/>
          <w:sz w:val="32"/>
          <w:szCs w:val="32"/>
        </w:rPr>
        <w:t>,</w:t>
      </w:r>
      <w:r w:rsidR="005252D1" w:rsidRPr="00940D92">
        <w:rPr>
          <w:rFonts w:ascii="Arial" w:hAnsi="Arial" w:cs="Arial"/>
          <w:sz w:val="32"/>
          <w:szCs w:val="32"/>
        </w:rPr>
        <w:t xml:space="preserve"> </w:t>
      </w:r>
      <w:r w:rsidR="005252D1">
        <w:rPr>
          <w:rFonts w:ascii="Arial" w:hAnsi="Arial" w:cs="Arial"/>
          <w:sz w:val="32"/>
          <w:szCs w:val="32"/>
        </w:rPr>
        <w:t xml:space="preserve">will be </w:t>
      </w:r>
      <w:r w:rsidR="00940D92" w:rsidRPr="00940D92">
        <w:rPr>
          <w:rFonts w:ascii="Arial" w:hAnsi="Arial" w:cs="Arial"/>
          <w:sz w:val="32"/>
          <w:szCs w:val="32"/>
        </w:rPr>
        <w:t xml:space="preserve">the responsibility of the successful lessee.  </w:t>
      </w:r>
    </w:p>
    <w:p w14:paraId="7A1E1EAE" w14:textId="3EDE64FB" w:rsidR="00FD3662" w:rsidRPr="00940D92" w:rsidRDefault="00F23187" w:rsidP="00F23187">
      <w:pPr>
        <w:pStyle w:val="NormalWeb"/>
        <w:jc w:val="center"/>
        <w:rPr>
          <w:rFonts w:ascii="Arial" w:hAnsi="Arial" w:cs="Arial"/>
          <w:sz w:val="32"/>
          <w:szCs w:val="32"/>
        </w:rPr>
      </w:pPr>
      <w:r w:rsidRPr="00177840">
        <w:rPr>
          <w:rFonts w:ascii="Arial" w:hAnsi="Arial" w:cs="Arial"/>
          <w:sz w:val="32"/>
          <w:szCs w:val="32"/>
        </w:rPr>
        <w:t>The lessee is responsible for keeping all fences and gates in good repair, as well as keeping the land free of noxious weeds and moles.  The lessee</w:t>
      </w:r>
      <w:r>
        <w:rPr>
          <w:rFonts w:ascii="Arial" w:hAnsi="Arial" w:cs="Arial"/>
          <w:sz w:val="32"/>
          <w:szCs w:val="32"/>
        </w:rPr>
        <w:t xml:space="preserve"> should also arrange to </w:t>
      </w:r>
      <w:r w:rsidRPr="00177840">
        <w:rPr>
          <w:rFonts w:ascii="Arial" w:hAnsi="Arial" w:cs="Arial"/>
          <w:sz w:val="32"/>
          <w:szCs w:val="32"/>
        </w:rPr>
        <w:t>trim the boundary hedges</w:t>
      </w:r>
      <w:r>
        <w:rPr>
          <w:rFonts w:ascii="Arial" w:hAnsi="Arial" w:cs="Arial"/>
          <w:sz w:val="32"/>
          <w:szCs w:val="32"/>
        </w:rPr>
        <w:t xml:space="preserve"> on an annual basis</w:t>
      </w:r>
      <w:r w:rsidRPr="00177840">
        <w:rPr>
          <w:rFonts w:ascii="Arial" w:hAnsi="Arial" w:cs="Arial"/>
          <w:sz w:val="32"/>
          <w:szCs w:val="32"/>
        </w:rPr>
        <w:t>.</w:t>
      </w:r>
    </w:p>
    <w:p w14:paraId="55C39760" w14:textId="12B60C95" w:rsidR="00940D92" w:rsidRPr="00177840" w:rsidRDefault="00940D92" w:rsidP="007C78E8">
      <w:pPr>
        <w:pStyle w:val="NormalWeb"/>
        <w:jc w:val="center"/>
        <w:rPr>
          <w:rFonts w:ascii="Arial" w:hAnsi="Arial" w:cs="Arial"/>
          <w:sz w:val="32"/>
          <w:szCs w:val="32"/>
        </w:rPr>
      </w:pPr>
      <w:r w:rsidRPr="00940D92">
        <w:rPr>
          <w:rFonts w:ascii="Arial" w:hAnsi="Arial" w:cs="Arial"/>
          <w:sz w:val="32"/>
          <w:szCs w:val="32"/>
        </w:rPr>
        <w:t>The Clerk will be pleased to arrange for a site visit for any interested parties</w:t>
      </w:r>
      <w:r>
        <w:rPr>
          <w:rFonts w:ascii="Arial" w:hAnsi="Arial" w:cs="Arial"/>
          <w:sz w:val="32"/>
          <w:szCs w:val="32"/>
        </w:rPr>
        <w:t xml:space="preserve">, </w:t>
      </w:r>
      <w:r w:rsidRPr="00940D92">
        <w:rPr>
          <w:rFonts w:ascii="Arial" w:hAnsi="Arial" w:cs="Arial"/>
          <w:sz w:val="32"/>
          <w:szCs w:val="32"/>
        </w:rPr>
        <w:t>if required.</w:t>
      </w:r>
      <w:r w:rsidR="000F600D">
        <w:rPr>
          <w:rFonts w:ascii="Arial" w:hAnsi="Arial" w:cs="Arial"/>
          <w:sz w:val="32"/>
          <w:szCs w:val="32"/>
        </w:rPr>
        <w:t xml:space="preserve">  </w:t>
      </w:r>
      <w:r w:rsidR="00102702">
        <w:rPr>
          <w:rFonts w:ascii="Arial" w:hAnsi="Arial" w:cs="Arial"/>
          <w:sz w:val="32"/>
          <w:szCs w:val="32"/>
        </w:rPr>
        <w:t xml:space="preserve">Expressions of interest </w:t>
      </w:r>
      <w:r w:rsidR="000F600D">
        <w:rPr>
          <w:rFonts w:ascii="Arial" w:hAnsi="Arial" w:cs="Arial"/>
          <w:sz w:val="32"/>
          <w:szCs w:val="32"/>
        </w:rPr>
        <w:t xml:space="preserve">should be submitted to the Clerk by </w:t>
      </w:r>
      <w:r w:rsidR="00F23187">
        <w:rPr>
          <w:rFonts w:ascii="Arial" w:hAnsi="Arial" w:cs="Arial"/>
          <w:sz w:val="32"/>
          <w:szCs w:val="32"/>
        </w:rPr>
        <w:t>23.59 on Friday</w:t>
      </w:r>
      <w:r w:rsidR="000F600D">
        <w:rPr>
          <w:rFonts w:ascii="Arial" w:hAnsi="Arial" w:cs="Arial"/>
          <w:sz w:val="32"/>
          <w:szCs w:val="32"/>
        </w:rPr>
        <w:t xml:space="preserve"> </w:t>
      </w:r>
      <w:r w:rsidR="005252D1">
        <w:rPr>
          <w:rFonts w:ascii="Arial" w:hAnsi="Arial" w:cs="Arial"/>
          <w:sz w:val="32"/>
          <w:szCs w:val="32"/>
        </w:rPr>
        <w:t>12</w:t>
      </w:r>
      <w:r w:rsidR="005252D1" w:rsidRPr="005252D1">
        <w:rPr>
          <w:rFonts w:ascii="Arial" w:hAnsi="Arial" w:cs="Arial"/>
          <w:sz w:val="32"/>
          <w:szCs w:val="32"/>
          <w:vertAlign w:val="superscript"/>
        </w:rPr>
        <w:t>th</w:t>
      </w:r>
      <w:r w:rsidR="005252D1">
        <w:rPr>
          <w:rFonts w:ascii="Arial" w:hAnsi="Arial" w:cs="Arial"/>
          <w:sz w:val="32"/>
          <w:szCs w:val="32"/>
        </w:rPr>
        <w:t xml:space="preserve"> </w:t>
      </w:r>
      <w:r w:rsidR="00F23187">
        <w:rPr>
          <w:rFonts w:ascii="Arial" w:hAnsi="Arial" w:cs="Arial"/>
          <w:sz w:val="32"/>
          <w:szCs w:val="32"/>
        </w:rPr>
        <w:t>June</w:t>
      </w:r>
      <w:r w:rsidR="000F600D">
        <w:rPr>
          <w:rFonts w:ascii="Arial" w:hAnsi="Arial" w:cs="Arial"/>
          <w:sz w:val="32"/>
          <w:szCs w:val="32"/>
        </w:rPr>
        <w:t>.</w:t>
      </w:r>
    </w:p>
    <w:p w14:paraId="33D99540" w14:textId="44A05BBD" w:rsidR="0046492C" w:rsidRPr="00177840" w:rsidRDefault="0046492C" w:rsidP="007C78E8">
      <w:pPr>
        <w:pStyle w:val="NormalWeb"/>
        <w:jc w:val="center"/>
        <w:rPr>
          <w:rFonts w:ascii="Arial" w:hAnsi="Arial" w:cs="Arial"/>
          <w:sz w:val="32"/>
          <w:szCs w:val="32"/>
        </w:rPr>
      </w:pPr>
      <w:r w:rsidRPr="00177840">
        <w:rPr>
          <w:rFonts w:ascii="Arial" w:hAnsi="Arial" w:cs="Arial"/>
          <w:sz w:val="32"/>
          <w:szCs w:val="32"/>
        </w:rPr>
        <w:t>The land is</w:t>
      </w:r>
      <w:r w:rsidR="006F3A41">
        <w:rPr>
          <w:rFonts w:ascii="Arial" w:hAnsi="Arial" w:cs="Arial"/>
          <w:sz w:val="32"/>
          <w:szCs w:val="32"/>
        </w:rPr>
        <w:t xml:space="preserve"> available from 1</w:t>
      </w:r>
      <w:r w:rsidR="006F3A41" w:rsidRPr="006F3A41">
        <w:rPr>
          <w:rFonts w:ascii="Arial" w:hAnsi="Arial" w:cs="Arial"/>
          <w:sz w:val="32"/>
          <w:szCs w:val="32"/>
          <w:vertAlign w:val="superscript"/>
        </w:rPr>
        <w:t>st</w:t>
      </w:r>
      <w:r w:rsidR="006F3A41">
        <w:rPr>
          <w:rFonts w:ascii="Arial" w:hAnsi="Arial" w:cs="Arial"/>
          <w:sz w:val="32"/>
          <w:szCs w:val="32"/>
        </w:rPr>
        <w:t xml:space="preserve"> </w:t>
      </w:r>
      <w:r w:rsidR="00F23187">
        <w:rPr>
          <w:rFonts w:ascii="Arial" w:hAnsi="Arial" w:cs="Arial"/>
          <w:sz w:val="32"/>
          <w:szCs w:val="32"/>
        </w:rPr>
        <w:t>July</w:t>
      </w:r>
      <w:r w:rsidRPr="00177840">
        <w:rPr>
          <w:rFonts w:ascii="Arial" w:hAnsi="Arial" w:cs="Arial"/>
          <w:sz w:val="32"/>
          <w:szCs w:val="32"/>
        </w:rPr>
        <w:t xml:space="preserve"> 20</w:t>
      </w:r>
      <w:r w:rsidR="00A7377E">
        <w:rPr>
          <w:rFonts w:ascii="Arial" w:hAnsi="Arial" w:cs="Arial"/>
          <w:sz w:val="32"/>
          <w:szCs w:val="32"/>
        </w:rPr>
        <w:t>2</w:t>
      </w:r>
      <w:r w:rsidR="00F23187">
        <w:rPr>
          <w:rFonts w:ascii="Arial" w:hAnsi="Arial" w:cs="Arial"/>
          <w:sz w:val="32"/>
          <w:szCs w:val="32"/>
        </w:rPr>
        <w:t>6</w:t>
      </w:r>
      <w:r w:rsidRPr="00177840">
        <w:rPr>
          <w:rFonts w:ascii="Arial" w:hAnsi="Arial" w:cs="Arial"/>
          <w:sz w:val="32"/>
          <w:szCs w:val="32"/>
        </w:rPr>
        <w:t>.</w:t>
      </w:r>
    </w:p>
    <w:p w14:paraId="4816ED95" w14:textId="6642F0D6" w:rsidR="0046492C" w:rsidRPr="00177840" w:rsidRDefault="0046492C" w:rsidP="00FD3662">
      <w:pPr>
        <w:pStyle w:val="NormalWeb"/>
        <w:jc w:val="center"/>
        <w:rPr>
          <w:rFonts w:ascii="Arial" w:hAnsi="Arial" w:cs="Arial"/>
          <w:sz w:val="32"/>
          <w:szCs w:val="32"/>
        </w:rPr>
      </w:pPr>
      <w:r w:rsidRPr="00177840">
        <w:rPr>
          <w:rFonts w:ascii="Arial" w:hAnsi="Arial" w:cs="Arial"/>
          <w:sz w:val="32"/>
          <w:szCs w:val="32"/>
        </w:rPr>
        <w:t>For further information please contact</w:t>
      </w:r>
      <w:r w:rsidR="007C78E8">
        <w:rPr>
          <w:rFonts w:ascii="Arial" w:hAnsi="Arial" w:cs="Arial"/>
          <w:sz w:val="32"/>
          <w:szCs w:val="32"/>
        </w:rPr>
        <w:t>:</w:t>
      </w:r>
      <w:r w:rsidRPr="00177840">
        <w:rPr>
          <w:rFonts w:ascii="Arial" w:hAnsi="Arial" w:cs="Arial"/>
          <w:sz w:val="32"/>
          <w:szCs w:val="32"/>
        </w:rPr>
        <w:t xml:space="preserve"> </w:t>
      </w:r>
      <w:r w:rsidR="007C78E8">
        <w:rPr>
          <w:rFonts w:ascii="Arial" w:hAnsi="Arial" w:cs="Arial"/>
          <w:sz w:val="32"/>
          <w:szCs w:val="32"/>
        </w:rPr>
        <w:br/>
      </w:r>
      <w:r w:rsidRPr="00177840">
        <w:rPr>
          <w:rFonts w:ascii="Arial" w:hAnsi="Arial" w:cs="Arial"/>
          <w:sz w:val="32"/>
          <w:szCs w:val="32"/>
        </w:rPr>
        <w:t>The Clerk</w:t>
      </w:r>
      <w:r w:rsidR="007C78E8">
        <w:rPr>
          <w:rFonts w:ascii="Arial" w:hAnsi="Arial" w:cs="Arial"/>
          <w:sz w:val="32"/>
          <w:szCs w:val="32"/>
        </w:rPr>
        <w:t>, Goetre Fawr Community Council</w:t>
      </w:r>
      <w:r w:rsidR="00FD3662">
        <w:rPr>
          <w:rFonts w:ascii="Arial" w:hAnsi="Arial" w:cs="Arial"/>
          <w:sz w:val="32"/>
          <w:szCs w:val="32"/>
        </w:rPr>
        <w:br/>
      </w:r>
      <w:hyperlink r:id="rId7" w:history="1">
        <w:r w:rsidR="00FD3662" w:rsidRPr="00D07043">
          <w:rPr>
            <w:rStyle w:val="Hyperlink"/>
            <w:rFonts w:ascii="Arial" w:hAnsi="Arial" w:cs="Arial"/>
            <w:sz w:val="32"/>
            <w:szCs w:val="32"/>
          </w:rPr>
          <w:t>theclerk@goytre.gov.uk</w:t>
        </w:r>
      </w:hyperlink>
      <w:r w:rsidRPr="00177840">
        <w:rPr>
          <w:rFonts w:ascii="Arial" w:hAnsi="Arial" w:cs="Arial"/>
          <w:sz w:val="32"/>
          <w:szCs w:val="32"/>
        </w:rPr>
        <w:t xml:space="preserve">  </w:t>
      </w:r>
    </w:p>
    <w:sectPr w:rsidR="0046492C" w:rsidRPr="00177840" w:rsidSect="000F600D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70B94"/>
    <w:multiLevelType w:val="singleLevel"/>
    <w:tmpl w:val="D66EDBF2"/>
    <w:lvl w:ilvl="0">
      <w:start w:val="1"/>
      <w:numFmt w:val="decimal"/>
      <w:lvlText w:val="%1."/>
      <w:legacy w:legacy="1" w:legacySpace="0" w:legacyIndent="283"/>
      <w:lvlJc w:val="left"/>
      <w:pPr>
        <w:ind w:left="720" w:hanging="283"/>
      </w:pPr>
    </w:lvl>
  </w:abstractNum>
  <w:num w:numId="1" w16cid:durableId="43918486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720" w:hanging="283"/>
        </w:pPr>
      </w:lvl>
    </w:lvlOverride>
  </w:num>
  <w:num w:numId="2" w16cid:durableId="1758558476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720" w:hanging="283"/>
        </w:pPr>
      </w:lvl>
    </w:lvlOverride>
  </w:num>
  <w:num w:numId="3" w16cid:durableId="2051686609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720" w:hanging="283"/>
        </w:pPr>
      </w:lvl>
    </w:lvlOverride>
  </w:num>
  <w:num w:numId="4" w16cid:durableId="130758465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720" w:hanging="283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BCC"/>
    <w:rsid w:val="000067E0"/>
    <w:rsid w:val="000F600D"/>
    <w:rsid w:val="00102702"/>
    <w:rsid w:val="00177840"/>
    <w:rsid w:val="004216E8"/>
    <w:rsid w:val="0046492C"/>
    <w:rsid w:val="004C4F95"/>
    <w:rsid w:val="004F12E5"/>
    <w:rsid w:val="005252D1"/>
    <w:rsid w:val="005813B9"/>
    <w:rsid w:val="006F3A41"/>
    <w:rsid w:val="007C78E8"/>
    <w:rsid w:val="00940D92"/>
    <w:rsid w:val="009B3BCC"/>
    <w:rsid w:val="00A7377E"/>
    <w:rsid w:val="00AB5C41"/>
    <w:rsid w:val="00E67D9B"/>
    <w:rsid w:val="00F23187"/>
    <w:rsid w:val="00F51376"/>
    <w:rsid w:val="00FD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935EC"/>
  <w15:docId w15:val="{2722D56A-4CE0-40EC-89B2-8EEA2FA07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BCC"/>
    <w:pPr>
      <w:spacing w:after="0"/>
    </w:pPr>
    <w:rPr>
      <w:rFonts w:ascii="Times New Roman" w:hAnsi="Times New Roman" w:cs="Times New Roman"/>
      <w:color w:val="000000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B3BC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46492C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6492C"/>
    <w:pPr>
      <w:spacing w:after="60"/>
      <w:jc w:val="center"/>
      <w:outlineLvl w:val="0"/>
    </w:pPr>
    <w:rPr>
      <w:rFonts w:ascii="Verdana" w:eastAsia="Times New Roman" w:hAnsi="Verdana"/>
      <w:b/>
      <w:bCs/>
      <w:color w:val="auto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6492C"/>
    <w:rPr>
      <w:rFonts w:ascii="Verdana" w:eastAsia="Times New Roman" w:hAnsi="Verdana" w:cs="Times New Roman"/>
      <w:b/>
      <w:bCs/>
      <w:kern w:val="28"/>
      <w:sz w:val="32"/>
      <w:szCs w:val="32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49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92C"/>
    <w:rPr>
      <w:rFonts w:ascii="Tahoma" w:hAnsi="Tahoma" w:cs="Tahoma"/>
      <w:color w:val="000000"/>
      <w:sz w:val="16"/>
      <w:szCs w:val="16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D36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16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heclerk@goytre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Clerk</dc:creator>
  <cp:lastModifiedBy>Jonathan Lazenby</cp:lastModifiedBy>
  <cp:revision>3</cp:revision>
  <cp:lastPrinted>2018-02-28T08:39:00Z</cp:lastPrinted>
  <dcterms:created xsi:type="dcterms:W3CDTF">2026-05-21T09:23:00Z</dcterms:created>
  <dcterms:modified xsi:type="dcterms:W3CDTF">2026-06-02T08:42:00Z</dcterms:modified>
</cp:coreProperties>
</file>