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BED04" w14:textId="008BEE8C" w:rsidR="004D7A8D" w:rsidRPr="00D76EE9" w:rsidRDefault="005A68E1" w:rsidP="0084022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B057AF" w:rsidRPr="005217DD">
        <w:rPr>
          <w:b/>
          <w:sz w:val="20"/>
          <w:szCs w:val="20"/>
          <w:u w:val="single"/>
        </w:rPr>
        <w:t xml:space="preserve">The </w:t>
      </w:r>
      <w:r w:rsidR="00BE531E" w:rsidRPr="005217DD">
        <w:rPr>
          <w:b/>
          <w:sz w:val="20"/>
          <w:szCs w:val="20"/>
          <w:u w:val="single"/>
        </w:rPr>
        <w:t>Lit</w:t>
      </w:r>
      <w:r w:rsidR="00E02C90" w:rsidRPr="005217DD">
        <w:rPr>
          <w:b/>
          <w:sz w:val="20"/>
          <w:szCs w:val="20"/>
          <w:u w:val="single"/>
        </w:rPr>
        <w:t>e</w:t>
      </w:r>
      <w:r w:rsidR="005E6303">
        <w:rPr>
          <w:b/>
          <w:sz w:val="20"/>
          <w:szCs w:val="20"/>
          <w:u w:val="single"/>
        </w:rPr>
        <w:t>bar</w:t>
      </w:r>
      <w:r w:rsidR="00BF570B">
        <w:rPr>
          <w:b/>
          <w:sz w:val="20"/>
          <w:szCs w:val="20"/>
          <w:u w:val="single"/>
        </w:rPr>
        <w:t xml:space="preserve">® </w:t>
      </w:r>
      <w:r w:rsidR="008A28C9" w:rsidRPr="005217DD">
        <w:rPr>
          <w:b/>
          <w:sz w:val="20"/>
          <w:szCs w:val="20"/>
          <w:u w:val="single"/>
        </w:rPr>
        <w:t xml:space="preserve">by </w:t>
      </w:r>
      <w:r w:rsidR="00892368" w:rsidRPr="00892368">
        <w:rPr>
          <w:b/>
          <w:i/>
          <w:color w:val="2E74B5" w:themeColor="accent5" w:themeShade="BF"/>
          <w:sz w:val="20"/>
          <w:szCs w:val="20"/>
          <w:u w:val="single"/>
        </w:rPr>
        <w:t>Free</w:t>
      </w:r>
      <w:bookmarkStart w:id="0" w:name="_GoBack"/>
      <w:bookmarkEnd w:id="0"/>
      <w:r w:rsidR="00892368" w:rsidRPr="00892368">
        <w:rPr>
          <w:b/>
          <w:i/>
          <w:color w:val="2E74B5" w:themeColor="accent5" w:themeShade="BF"/>
          <w:sz w:val="20"/>
          <w:szCs w:val="20"/>
          <w:u w:val="single"/>
        </w:rPr>
        <w:t xml:space="preserve"> Farrow</w:t>
      </w:r>
      <w:r w:rsidR="00892368" w:rsidRPr="00892368">
        <w:rPr>
          <w:b/>
          <w:color w:val="2E74B5" w:themeColor="accent5" w:themeShade="BF"/>
          <w:sz w:val="20"/>
          <w:szCs w:val="20"/>
          <w:u w:val="single"/>
        </w:rPr>
        <w:t xml:space="preserve"> </w:t>
      </w:r>
      <w:r w:rsidR="008A28C9" w:rsidRPr="00892368">
        <w:rPr>
          <w:rFonts w:cstheme="minorHAnsi"/>
          <w:b/>
          <w:i/>
          <w:color w:val="2E74B5" w:themeColor="accent5" w:themeShade="BF"/>
          <w:sz w:val="20"/>
          <w:szCs w:val="20"/>
          <w:u w:val="single"/>
        </w:rPr>
        <w:t>Ltd</w:t>
      </w:r>
      <w:r w:rsidR="00887D4F" w:rsidRPr="00892368">
        <w:rPr>
          <w:rFonts w:cstheme="minorHAnsi"/>
          <w:b/>
          <w:i/>
          <w:color w:val="2E74B5" w:themeColor="accent5" w:themeShade="BF"/>
          <w:sz w:val="20"/>
          <w:szCs w:val="20"/>
          <w:u w:val="single"/>
        </w:rPr>
        <w:t xml:space="preserve"> </w:t>
      </w:r>
      <w:r w:rsidR="004D7A8D" w:rsidRPr="005217DD">
        <w:rPr>
          <w:b/>
          <w:sz w:val="20"/>
          <w:szCs w:val="20"/>
          <w:u w:val="single"/>
        </w:rPr>
        <w:t>– technical data sheet</w:t>
      </w:r>
    </w:p>
    <w:p w14:paraId="40DDCAC0" w14:textId="7C66D489" w:rsidR="004D7A8D" w:rsidRDefault="004D7A8D" w:rsidP="0084022C">
      <w:pPr>
        <w:spacing w:after="0"/>
        <w:rPr>
          <w:b/>
          <w:sz w:val="20"/>
          <w:szCs w:val="20"/>
        </w:rPr>
      </w:pPr>
    </w:p>
    <w:p w14:paraId="4D6A2D25" w14:textId="68E9D96C" w:rsidR="000023B7" w:rsidRDefault="000023B7" w:rsidP="0084022C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</w:t>
      </w:r>
      <w:r w:rsidR="004D7A8D" w:rsidRPr="00D06B91">
        <w:rPr>
          <w:rFonts w:cstheme="minorHAnsi"/>
          <w:b/>
          <w:sz w:val="18"/>
          <w:szCs w:val="18"/>
        </w:rPr>
        <w:t xml:space="preserve">The conduit </w:t>
      </w:r>
      <w:r w:rsidR="002F2DDC" w:rsidRPr="00D06B91">
        <w:rPr>
          <w:rFonts w:cstheme="minorHAnsi"/>
          <w:b/>
          <w:sz w:val="18"/>
          <w:szCs w:val="18"/>
        </w:rPr>
        <w:t>LiteBar</w:t>
      </w:r>
      <w:hyperlink r:id="rId4" w:tooltip="The difference between the trade mark symbols ® and ™" w:history="1">
        <w:r w:rsidR="002F2DDC" w:rsidRPr="00D06B91">
          <w:rPr>
            <w:rFonts w:cstheme="minorHAnsi"/>
            <w:color w:val="111111"/>
            <w:sz w:val="18"/>
            <w:szCs w:val="18"/>
          </w:rPr>
          <w:t>™</w:t>
        </w:r>
      </w:hyperlink>
      <w:r w:rsidR="002F2DDC" w:rsidRPr="00D06B91">
        <w:rPr>
          <w:rFonts w:cstheme="minorHAnsi"/>
          <w:color w:val="111111"/>
          <w:sz w:val="18"/>
          <w:szCs w:val="18"/>
        </w:rPr>
        <w:t xml:space="preserve"> </w:t>
      </w:r>
      <w:r w:rsidR="008970AF" w:rsidRPr="00D06B91">
        <w:rPr>
          <w:rFonts w:cstheme="minorHAnsi"/>
          <w:b/>
          <w:sz w:val="18"/>
          <w:szCs w:val="18"/>
        </w:rPr>
        <w:t>LED l</w:t>
      </w:r>
      <w:r w:rsidR="004D7A8D" w:rsidRPr="00D06B91">
        <w:rPr>
          <w:rFonts w:cstheme="minorHAnsi"/>
          <w:b/>
          <w:sz w:val="18"/>
          <w:szCs w:val="18"/>
        </w:rPr>
        <w:t xml:space="preserve">ighting units </w:t>
      </w:r>
      <w:r w:rsidR="00D723C5">
        <w:rPr>
          <w:rFonts w:cstheme="minorHAnsi"/>
          <w:b/>
          <w:sz w:val="18"/>
          <w:szCs w:val="18"/>
        </w:rPr>
        <w:t xml:space="preserve">are enclosed </w:t>
      </w:r>
      <w:r w:rsidR="004D7A8D" w:rsidRPr="00D06B91">
        <w:rPr>
          <w:rFonts w:cstheme="minorHAnsi"/>
          <w:b/>
          <w:sz w:val="18"/>
          <w:szCs w:val="18"/>
        </w:rPr>
        <w:t xml:space="preserve">in either Aluminium, </w:t>
      </w:r>
      <w:r>
        <w:rPr>
          <w:rFonts w:cstheme="minorHAnsi"/>
          <w:b/>
          <w:sz w:val="18"/>
          <w:szCs w:val="18"/>
        </w:rPr>
        <w:t xml:space="preserve"> </w:t>
      </w:r>
    </w:p>
    <w:p w14:paraId="0B80543E" w14:textId="50C80B1F" w:rsidR="004D7A8D" w:rsidRPr="00D06B91" w:rsidRDefault="000023B7" w:rsidP="0084022C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</w:t>
      </w:r>
      <w:proofErr w:type="gramStart"/>
      <w:r w:rsidR="004D7A8D" w:rsidRPr="00D06B91">
        <w:rPr>
          <w:rFonts w:cstheme="minorHAnsi"/>
          <w:b/>
          <w:sz w:val="18"/>
          <w:szCs w:val="18"/>
        </w:rPr>
        <w:t>or</w:t>
      </w:r>
      <w:proofErr w:type="gramEnd"/>
      <w:r w:rsidR="004D7A8D" w:rsidRPr="00D06B91">
        <w:rPr>
          <w:rFonts w:cstheme="minorHAnsi"/>
          <w:b/>
          <w:sz w:val="18"/>
          <w:szCs w:val="18"/>
        </w:rPr>
        <w:t xml:space="preserve"> </w:t>
      </w:r>
      <w:r w:rsidR="000F3817">
        <w:rPr>
          <w:rFonts w:cstheme="minorHAnsi"/>
          <w:b/>
          <w:sz w:val="18"/>
          <w:szCs w:val="18"/>
        </w:rPr>
        <w:t>heat-resistant</w:t>
      </w:r>
      <w:r>
        <w:rPr>
          <w:rFonts w:cstheme="minorHAnsi"/>
          <w:b/>
          <w:sz w:val="18"/>
          <w:szCs w:val="18"/>
        </w:rPr>
        <w:t xml:space="preserve"> </w:t>
      </w:r>
      <w:r w:rsidR="00494534">
        <w:rPr>
          <w:rFonts w:cstheme="minorHAnsi"/>
          <w:b/>
          <w:sz w:val="18"/>
          <w:szCs w:val="18"/>
        </w:rPr>
        <w:t>ABS</w:t>
      </w:r>
      <w:r w:rsidR="004D7A8D" w:rsidRPr="00D06B91">
        <w:rPr>
          <w:rFonts w:cstheme="minorHAnsi"/>
          <w:b/>
          <w:sz w:val="18"/>
          <w:szCs w:val="18"/>
        </w:rPr>
        <w:t xml:space="preserve"> Plastic</w:t>
      </w:r>
      <w:r w:rsidR="00D723C5">
        <w:rPr>
          <w:rFonts w:cstheme="minorHAnsi"/>
          <w:b/>
          <w:sz w:val="18"/>
          <w:szCs w:val="18"/>
        </w:rPr>
        <w:t xml:space="preserve"> conduit</w:t>
      </w:r>
      <w:r w:rsidR="008515BC">
        <w:rPr>
          <w:rFonts w:cstheme="minorHAnsi"/>
          <w:b/>
          <w:sz w:val="18"/>
          <w:szCs w:val="18"/>
        </w:rPr>
        <w:t xml:space="preserve"> (</w:t>
      </w:r>
      <w:r w:rsidR="00822978">
        <w:rPr>
          <w:rFonts w:cstheme="minorHAnsi"/>
          <w:b/>
          <w:sz w:val="18"/>
          <w:szCs w:val="18"/>
        </w:rPr>
        <w:t xml:space="preserve">Acrylonitrile </w:t>
      </w:r>
      <w:r w:rsidR="000F3817">
        <w:rPr>
          <w:rFonts w:cstheme="minorHAnsi"/>
          <w:b/>
          <w:sz w:val="18"/>
          <w:szCs w:val="18"/>
        </w:rPr>
        <w:t>Butadiene Styrene).</w:t>
      </w:r>
      <w:r w:rsidR="006501BD" w:rsidRPr="00D06B91">
        <w:rPr>
          <w:rFonts w:cstheme="minorHAnsi"/>
          <w:b/>
          <w:sz w:val="18"/>
          <w:szCs w:val="18"/>
        </w:rPr>
        <w:t xml:space="preserve"> </w:t>
      </w:r>
    </w:p>
    <w:p w14:paraId="62117D2B" w14:textId="77777777" w:rsidR="006E2C7B" w:rsidRPr="00D06B91" w:rsidRDefault="006E2C7B" w:rsidP="0084022C">
      <w:pPr>
        <w:spacing w:after="0"/>
        <w:rPr>
          <w:rFonts w:cstheme="minorHAnsi"/>
          <w:b/>
          <w:sz w:val="18"/>
          <w:szCs w:val="18"/>
          <w:u w:val="single"/>
        </w:rPr>
      </w:pPr>
    </w:p>
    <w:p w14:paraId="38C864CC" w14:textId="3FC77542" w:rsidR="004D7A8D" w:rsidRDefault="004D7A8D" w:rsidP="0084022C">
      <w:pPr>
        <w:spacing w:after="0"/>
        <w:rPr>
          <w:rFonts w:cstheme="minorHAnsi"/>
          <w:b/>
          <w:sz w:val="18"/>
          <w:szCs w:val="18"/>
        </w:rPr>
      </w:pPr>
      <w:r w:rsidRPr="00D06B91">
        <w:rPr>
          <w:rFonts w:cstheme="minorHAnsi"/>
          <w:b/>
          <w:sz w:val="18"/>
          <w:szCs w:val="18"/>
          <w:u w:val="single"/>
        </w:rPr>
        <w:t>Aluminium conduit units</w:t>
      </w:r>
      <w:r w:rsidRPr="00D06B91">
        <w:rPr>
          <w:rFonts w:cstheme="minorHAnsi"/>
          <w:b/>
          <w:sz w:val="18"/>
          <w:szCs w:val="18"/>
        </w:rPr>
        <w:t>:</w:t>
      </w:r>
    </w:p>
    <w:p w14:paraId="61EA4914" w14:textId="77777777" w:rsidR="00EB6074" w:rsidRPr="00D06B91" w:rsidRDefault="00EB6074" w:rsidP="0084022C">
      <w:pPr>
        <w:spacing w:after="0"/>
        <w:rPr>
          <w:rFonts w:cstheme="minorHAnsi"/>
          <w:b/>
          <w:sz w:val="18"/>
          <w:szCs w:val="18"/>
        </w:rPr>
      </w:pPr>
    </w:p>
    <w:p w14:paraId="77A66824" w14:textId="1B4C7E83" w:rsidR="004D7A8D" w:rsidRPr="00D06B91" w:rsidRDefault="004D7A8D" w:rsidP="0084022C">
      <w:pPr>
        <w:spacing w:after="0"/>
        <w:rPr>
          <w:rFonts w:cstheme="minorHAnsi"/>
          <w:b/>
          <w:sz w:val="18"/>
          <w:szCs w:val="18"/>
        </w:rPr>
      </w:pPr>
      <w:r w:rsidRPr="00D06B91">
        <w:rPr>
          <w:rFonts w:cstheme="minorHAnsi"/>
          <w:b/>
          <w:sz w:val="18"/>
          <w:szCs w:val="18"/>
        </w:rPr>
        <w:t>All units are 25mm diameter and are compatible with “off the shelf” electrical conduit fittings.</w:t>
      </w:r>
    </w:p>
    <w:p w14:paraId="609E25B4" w14:textId="65B2D3BF" w:rsidR="004D7A8D" w:rsidRPr="00D06B91" w:rsidRDefault="004D7A8D" w:rsidP="0084022C">
      <w:pPr>
        <w:spacing w:after="0"/>
        <w:rPr>
          <w:rFonts w:cstheme="minorHAnsi"/>
          <w:b/>
          <w:sz w:val="18"/>
          <w:szCs w:val="18"/>
        </w:rPr>
      </w:pPr>
      <w:r w:rsidRPr="00D06B91">
        <w:rPr>
          <w:rFonts w:cstheme="minorHAnsi"/>
          <w:b/>
          <w:sz w:val="18"/>
          <w:szCs w:val="18"/>
        </w:rPr>
        <w:t>Whether coupled up with plastic or aluminium fittings, all units must be mechanically earthed.</w:t>
      </w:r>
    </w:p>
    <w:p w14:paraId="18723DC0" w14:textId="4CC1A7BD" w:rsidR="00CC3051" w:rsidRPr="00D06B91" w:rsidRDefault="00CC3051" w:rsidP="0084022C">
      <w:pPr>
        <w:spacing w:after="0"/>
        <w:rPr>
          <w:rFonts w:cstheme="minorHAnsi"/>
          <w:b/>
          <w:sz w:val="18"/>
          <w:szCs w:val="18"/>
        </w:rPr>
      </w:pPr>
      <w:r w:rsidRPr="00D06B91">
        <w:rPr>
          <w:rFonts w:cstheme="minorHAnsi"/>
          <w:b/>
          <w:sz w:val="18"/>
          <w:szCs w:val="18"/>
        </w:rPr>
        <w:t>Enough extra wiring should be allowed to enable the conduit to be rotated to the desired lighting angle. This should never exceed 180 degrees in either direction.</w:t>
      </w:r>
      <w:r w:rsidR="00B45C9B" w:rsidRPr="00D06B91">
        <w:rPr>
          <w:rFonts w:cstheme="minorHAnsi"/>
          <w:b/>
          <w:sz w:val="18"/>
          <w:szCs w:val="18"/>
        </w:rPr>
        <w:t xml:space="preserve"> They should always be fixed in position using appropriate clips.</w:t>
      </w:r>
    </w:p>
    <w:p w14:paraId="7B2B6A4B" w14:textId="77777777" w:rsidR="006E2C7B" w:rsidRPr="00D06B91" w:rsidRDefault="006E2C7B" w:rsidP="0084022C">
      <w:pPr>
        <w:spacing w:after="0"/>
        <w:rPr>
          <w:rFonts w:cstheme="minorHAnsi"/>
          <w:b/>
          <w:sz w:val="18"/>
          <w:szCs w:val="18"/>
          <w:u w:val="single"/>
        </w:rPr>
      </w:pPr>
    </w:p>
    <w:p w14:paraId="15C7C7D3" w14:textId="3FD35558" w:rsidR="004D7A8D" w:rsidRPr="00D06B91" w:rsidRDefault="00A23FBC" w:rsidP="0084022C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  <w:u w:val="single"/>
        </w:rPr>
        <w:t xml:space="preserve">ABS </w:t>
      </w:r>
      <w:r w:rsidR="003E57E9">
        <w:rPr>
          <w:rFonts w:cstheme="minorHAnsi"/>
          <w:b/>
          <w:sz w:val="18"/>
          <w:szCs w:val="18"/>
          <w:u w:val="single"/>
        </w:rPr>
        <w:t>p</w:t>
      </w:r>
      <w:r w:rsidR="004D7A8D" w:rsidRPr="00D06B91">
        <w:rPr>
          <w:rFonts w:cstheme="minorHAnsi"/>
          <w:b/>
          <w:sz w:val="18"/>
          <w:szCs w:val="18"/>
          <w:u w:val="single"/>
        </w:rPr>
        <w:t>lastic conduit units</w:t>
      </w:r>
      <w:r w:rsidR="004D7A8D" w:rsidRPr="00D06B91">
        <w:rPr>
          <w:rFonts w:cstheme="minorHAnsi"/>
          <w:b/>
          <w:sz w:val="18"/>
          <w:szCs w:val="18"/>
        </w:rPr>
        <w:t>:</w:t>
      </w:r>
    </w:p>
    <w:p w14:paraId="1DBDD6FF" w14:textId="77777777" w:rsidR="00EB6074" w:rsidRDefault="00EB6074" w:rsidP="0084022C">
      <w:pPr>
        <w:spacing w:after="0"/>
        <w:rPr>
          <w:rFonts w:cstheme="minorHAnsi"/>
          <w:b/>
          <w:sz w:val="18"/>
          <w:szCs w:val="18"/>
        </w:rPr>
      </w:pPr>
    </w:p>
    <w:p w14:paraId="3E82139A" w14:textId="740277E1" w:rsidR="004D7A8D" w:rsidRPr="00D06B91" w:rsidRDefault="004D7A8D" w:rsidP="0084022C">
      <w:pPr>
        <w:spacing w:after="0"/>
        <w:rPr>
          <w:rFonts w:cstheme="minorHAnsi"/>
          <w:b/>
          <w:sz w:val="18"/>
          <w:szCs w:val="18"/>
        </w:rPr>
      </w:pPr>
      <w:r w:rsidRPr="00D06B91">
        <w:rPr>
          <w:rFonts w:cstheme="minorHAnsi"/>
          <w:b/>
          <w:sz w:val="18"/>
          <w:szCs w:val="18"/>
        </w:rPr>
        <w:t>All units are 25mm diameter and are compatible with “off the shelf” electrical conduit fittings.</w:t>
      </w:r>
    </w:p>
    <w:p w14:paraId="1F36C461" w14:textId="3FC52E7B" w:rsidR="004D7A8D" w:rsidRPr="00D06B91" w:rsidRDefault="00B128D7" w:rsidP="0084022C">
      <w:pPr>
        <w:spacing w:after="0"/>
        <w:rPr>
          <w:rFonts w:cstheme="minorHAnsi"/>
          <w:b/>
          <w:sz w:val="18"/>
          <w:szCs w:val="18"/>
        </w:rPr>
      </w:pPr>
      <w:r w:rsidRPr="00D06B91">
        <w:rPr>
          <w:rFonts w:cstheme="minorHAnsi"/>
          <w:b/>
          <w:sz w:val="18"/>
          <w:szCs w:val="18"/>
        </w:rPr>
        <w:t xml:space="preserve">If </w:t>
      </w:r>
      <w:r w:rsidR="00992A31" w:rsidRPr="00D06B91">
        <w:rPr>
          <w:rFonts w:cstheme="minorHAnsi"/>
          <w:b/>
          <w:sz w:val="18"/>
          <w:szCs w:val="18"/>
        </w:rPr>
        <w:t>c</w:t>
      </w:r>
      <w:r w:rsidR="004D7A8D" w:rsidRPr="00D06B91">
        <w:rPr>
          <w:rFonts w:cstheme="minorHAnsi"/>
          <w:b/>
          <w:sz w:val="18"/>
          <w:szCs w:val="18"/>
        </w:rPr>
        <w:t xml:space="preserve">oupled up with </w:t>
      </w:r>
      <w:r w:rsidR="00457B81" w:rsidRPr="00D06B91">
        <w:rPr>
          <w:rFonts w:cstheme="minorHAnsi"/>
          <w:b/>
          <w:sz w:val="18"/>
          <w:szCs w:val="18"/>
        </w:rPr>
        <w:t xml:space="preserve">galvanised </w:t>
      </w:r>
      <w:r w:rsidR="004D7A8D" w:rsidRPr="00D06B91">
        <w:rPr>
          <w:rFonts w:cstheme="minorHAnsi"/>
          <w:b/>
          <w:sz w:val="18"/>
          <w:szCs w:val="18"/>
        </w:rPr>
        <w:t>fittings, all units must be mechanically earthed.</w:t>
      </w:r>
    </w:p>
    <w:p w14:paraId="35D039E2" w14:textId="5330C726" w:rsidR="004D7A8D" w:rsidRPr="00D06B91" w:rsidRDefault="00CC3051" w:rsidP="0084022C">
      <w:pPr>
        <w:spacing w:after="0"/>
        <w:rPr>
          <w:rFonts w:cstheme="minorHAnsi"/>
          <w:b/>
          <w:sz w:val="18"/>
          <w:szCs w:val="18"/>
        </w:rPr>
      </w:pPr>
      <w:r w:rsidRPr="00D06B91">
        <w:rPr>
          <w:rFonts w:cstheme="minorHAnsi"/>
          <w:b/>
          <w:sz w:val="18"/>
          <w:szCs w:val="18"/>
        </w:rPr>
        <w:t>Enough extra wiring should be allowed to enable the conduit to be rotated to the desired lighting angle. This should never exceed 180 degrees in either direction.</w:t>
      </w:r>
      <w:r w:rsidR="00320736">
        <w:rPr>
          <w:rFonts w:cstheme="minorHAnsi"/>
          <w:b/>
          <w:sz w:val="18"/>
          <w:szCs w:val="18"/>
        </w:rPr>
        <w:t xml:space="preserve"> </w:t>
      </w:r>
      <w:r w:rsidR="0084022C" w:rsidRPr="00D06B91">
        <w:rPr>
          <w:rFonts w:cstheme="minorHAnsi"/>
          <w:b/>
          <w:sz w:val="18"/>
          <w:szCs w:val="18"/>
        </w:rPr>
        <w:t>They should always be fixed in position using appropriate clips.</w:t>
      </w:r>
    </w:p>
    <w:p w14:paraId="1F8E6E60" w14:textId="77777777" w:rsidR="0084022C" w:rsidRPr="00D06B91" w:rsidRDefault="0084022C" w:rsidP="0084022C">
      <w:pPr>
        <w:spacing w:after="0"/>
        <w:rPr>
          <w:rFonts w:cstheme="minorHAnsi"/>
          <w:b/>
          <w:sz w:val="18"/>
          <w:szCs w:val="18"/>
        </w:rPr>
      </w:pPr>
    </w:p>
    <w:p w14:paraId="17287026" w14:textId="6D3165EB" w:rsidR="004D7A8D" w:rsidRPr="00D06B91" w:rsidRDefault="004D7A8D" w:rsidP="0084022C">
      <w:pPr>
        <w:spacing w:after="0"/>
        <w:rPr>
          <w:rFonts w:cstheme="minorHAnsi"/>
          <w:b/>
          <w:sz w:val="18"/>
          <w:szCs w:val="18"/>
        </w:rPr>
      </w:pPr>
      <w:r w:rsidRPr="00D06B91">
        <w:rPr>
          <w:rFonts w:cstheme="minorHAnsi"/>
          <w:b/>
          <w:sz w:val="18"/>
          <w:szCs w:val="18"/>
          <w:u w:val="single"/>
        </w:rPr>
        <w:t>Lighting strips</w:t>
      </w:r>
      <w:r w:rsidRPr="00D06B91">
        <w:rPr>
          <w:rFonts w:cstheme="minorHAnsi"/>
          <w:b/>
          <w:sz w:val="18"/>
          <w:szCs w:val="18"/>
        </w:rPr>
        <w:t>:</w:t>
      </w:r>
    </w:p>
    <w:p w14:paraId="3690AF9F" w14:textId="77777777" w:rsidR="00EB6074" w:rsidRDefault="00EB6074" w:rsidP="0084022C">
      <w:pPr>
        <w:spacing w:after="0"/>
        <w:rPr>
          <w:rFonts w:cstheme="minorHAnsi"/>
          <w:b/>
          <w:sz w:val="18"/>
          <w:szCs w:val="18"/>
        </w:rPr>
      </w:pPr>
    </w:p>
    <w:p w14:paraId="58321A64" w14:textId="16EDA99D" w:rsidR="00CC3051" w:rsidRPr="00D06B91" w:rsidRDefault="00CC3051" w:rsidP="0084022C">
      <w:pPr>
        <w:spacing w:after="0"/>
        <w:rPr>
          <w:rFonts w:cstheme="minorHAnsi"/>
          <w:b/>
          <w:sz w:val="18"/>
          <w:szCs w:val="18"/>
        </w:rPr>
      </w:pPr>
      <w:r w:rsidRPr="00D06B91">
        <w:rPr>
          <w:rFonts w:cstheme="minorHAnsi"/>
          <w:b/>
          <w:sz w:val="18"/>
          <w:szCs w:val="18"/>
        </w:rPr>
        <w:t xml:space="preserve">The lighting strips must only be used </w:t>
      </w:r>
      <w:r w:rsidR="00B45C9B" w:rsidRPr="00D06B91">
        <w:rPr>
          <w:rFonts w:cstheme="minorHAnsi"/>
          <w:b/>
          <w:sz w:val="18"/>
          <w:szCs w:val="18"/>
        </w:rPr>
        <w:t xml:space="preserve">in the supplied form - </w:t>
      </w:r>
      <w:r w:rsidRPr="00D06B91">
        <w:rPr>
          <w:rFonts w:cstheme="minorHAnsi"/>
          <w:b/>
          <w:sz w:val="18"/>
          <w:szCs w:val="18"/>
        </w:rPr>
        <w:t>as part of the conduit lighting unit</w:t>
      </w:r>
      <w:r w:rsidR="00B45C9B" w:rsidRPr="00D06B91">
        <w:rPr>
          <w:rFonts w:cstheme="minorHAnsi"/>
          <w:b/>
          <w:sz w:val="18"/>
          <w:szCs w:val="18"/>
        </w:rPr>
        <w:t>.</w:t>
      </w:r>
    </w:p>
    <w:p w14:paraId="095C2468" w14:textId="7BA74490" w:rsidR="00A43798" w:rsidRDefault="004D7A8D" w:rsidP="0084022C">
      <w:pPr>
        <w:spacing w:after="0"/>
        <w:rPr>
          <w:rFonts w:cstheme="minorHAnsi"/>
          <w:b/>
          <w:sz w:val="18"/>
          <w:szCs w:val="18"/>
        </w:rPr>
      </w:pPr>
      <w:r w:rsidRPr="00D06B91">
        <w:rPr>
          <w:rFonts w:cstheme="minorHAnsi"/>
          <w:b/>
          <w:sz w:val="18"/>
          <w:szCs w:val="18"/>
        </w:rPr>
        <w:t>Input voltage: 12V DC</w:t>
      </w:r>
      <w:r w:rsidR="00764E28">
        <w:rPr>
          <w:rFonts w:cstheme="minorHAnsi"/>
          <w:b/>
          <w:sz w:val="18"/>
          <w:szCs w:val="18"/>
        </w:rPr>
        <w:t xml:space="preserve">. </w:t>
      </w:r>
      <w:r w:rsidRPr="00D06B91">
        <w:rPr>
          <w:rFonts w:cstheme="minorHAnsi"/>
          <w:b/>
          <w:sz w:val="18"/>
          <w:szCs w:val="18"/>
        </w:rPr>
        <w:t xml:space="preserve">Rated Power:   </w:t>
      </w:r>
    </w:p>
    <w:p w14:paraId="5AFE5540" w14:textId="77777777" w:rsidR="00764E28" w:rsidRDefault="00764E28" w:rsidP="0084022C">
      <w:pPr>
        <w:spacing w:after="0"/>
        <w:rPr>
          <w:rFonts w:cstheme="minorHAnsi"/>
          <w:b/>
          <w:sz w:val="18"/>
          <w:szCs w:val="18"/>
        </w:rPr>
      </w:pPr>
    </w:p>
    <w:p w14:paraId="5B826D3F" w14:textId="54D0EDF5" w:rsidR="00BF570B" w:rsidRDefault="00A43798" w:rsidP="0084022C">
      <w:pPr>
        <w:spacing w:after="0"/>
        <w:rPr>
          <w:b/>
          <w:sz w:val="20"/>
          <w:szCs w:val="20"/>
          <w:u w:val="single"/>
        </w:rPr>
      </w:pPr>
      <w:r>
        <w:rPr>
          <w:rFonts w:cstheme="minorHAnsi"/>
          <w:b/>
          <w:sz w:val="18"/>
          <w:szCs w:val="18"/>
        </w:rPr>
        <w:t xml:space="preserve">  </w:t>
      </w:r>
      <w:r w:rsidR="00841C28">
        <w:rPr>
          <w:rFonts w:cstheme="minorHAnsi"/>
          <w:b/>
          <w:sz w:val="18"/>
          <w:szCs w:val="18"/>
        </w:rPr>
        <w:t xml:space="preserve">Standard Lights: </w:t>
      </w:r>
      <w:r>
        <w:rPr>
          <w:rFonts w:cstheme="minorHAnsi"/>
          <w:b/>
          <w:sz w:val="18"/>
          <w:szCs w:val="18"/>
        </w:rPr>
        <w:t xml:space="preserve">    </w:t>
      </w:r>
      <w:r w:rsidR="00EB1AC5">
        <w:rPr>
          <w:rFonts w:cstheme="minorHAnsi"/>
          <w:b/>
          <w:sz w:val="18"/>
          <w:szCs w:val="18"/>
        </w:rPr>
        <w:t xml:space="preserve">                                                      </w:t>
      </w:r>
      <w:r>
        <w:rPr>
          <w:rFonts w:cstheme="minorHAnsi"/>
          <w:b/>
          <w:sz w:val="18"/>
          <w:szCs w:val="18"/>
        </w:rPr>
        <w:t xml:space="preserve">60 LEDs per metre = </w:t>
      </w:r>
      <w:r w:rsidR="004D7A8D" w:rsidRPr="00D06B91">
        <w:rPr>
          <w:rFonts w:cstheme="minorHAnsi"/>
          <w:b/>
          <w:sz w:val="18"/>
          <w:szCs w:val="18"/>
        </w:rPr>
        <w:t>4.8W</w:t>
      </w:r>
      <w:r>
        <w:rPr>
          <w:rFonts w:cstheme="minorHAnsi"/>
          <w:b/>
          <w:sz w:val="18"/>
          <w:szCs w:val="18"/>
        </w:rPr>
        <w:t xml:space="preserve"> per </w:t>
      </w:r>
      <w:r w:rsidR="00BF570B" w:rsidRPr="005217DD">
        <w:rPr>
          <w:b/>
          <w:sz w:val="20"/>
          <w:szCs w:val="20"/>
          <w:u w:val="single"/>
        </w:rPr>
        <w:t>Lite</w:t>
      </w:r>
      <w:r w:rsidR="00BF570B">
        <w:rPr>
          <w:b/>
          <w:sz w:val="20"/>
          <w:szCs w:val="20"/>
          <w:u w:val="single"/>
        </w:rPr>
        <w:t xml:space="preserve">bar® </w:t>
      </w:r>
    </w:p>
    <w:p w14:paraId="091D32B6" w14:textId="3ED8DEA7" w:rsidR="00A43798" w:rsidRDefault="00A43798" w:rsidP="0084022C">
      <w:pPr>
        <w:spacing w:after="0"/>
        <w:rPr>
          <w:b/>
          <w:sz w:val="20"/>
          <w:szCs w:val="20"/>
          <w:u w:val="single"/>
        </w:rPr>
      </w:pPr>
      <w:r>
        <w:rPr>
          <w:rFonts w:cstheme="minorHAnsi"/>
          <w:b/>
          <w:sz w:val="18"/>
          <w:szCs w:val="18"/>
        </w:rPr>
        <w:t xml:space="preserve">   </w:t>
      </w:r>
      <w:r w:rsidR="00EB1AC5">
        <w:rPr>
          <w:rFonts w:cstheme="minorHAnsi"/>
          <w:b/>
          <w:sz w:val="18"/>
          <w:szCs w:val="18"/>
        </w:rPr>
        <w:t>(</w:t>
      </w:r>
      <w:r w:rsidR="00EB1AC5">
        <w:rPr>
          <w:rFonts w:cstheme="minorHAnsi"/>
          <w:b/>
          <w:sz w:val="18"/>
          <w:szCs w:val="18"/>
        </w:rPr>
        <w:t>Up</w:t>
      </w:r>
      <w:r w:rsidR="00EB1AC5">
        <w:rPr>
          <w:rFonts w:cstheme="minorHAnsi"/>
          <w:b/>
          <w:sz w:val="18"/>
          <w:szCs w:val="18"/>
        </w:rPr>
        <w:t xml:space="preserve"> to 2000 lumens at source</w:t>
      </w:r>
      <w:r w:rsidR="00EB1AC5">
        <w:rPr>
          <w:rFonts w:cstheme="minorHAnsi"/>
          <w:b/>
          <w:sz w:val="18"/>
          <w:szCs w:val="18"/>
        </w:rPr>
        <w:t>)</w:t>
      </w:r>
      <w:r>
        <w:rPr>
          <w:rFonts w:cstheme="minorHAnsi"/>
          <w:b/>
          <w:sz w:val="18"/>
          <w:szCs w:val="18"/>
        </w:rPr>
        <w:t xml:space="preserve"> </w:t>
      </w:r>
      <w:r w:rsidR="00841C28">
        <w:rPr>
          <w:rFonts w:cstheme="minorHAnsi"/>
          <w:b/>
          <w:sz w:val="18"/>
          <w:szCs w:val="18"/>
        </w:rPr>
        <w:t xml:space="preserve">      </w:t>
      </w:r>
      <w:r w:rsidR="00EB1AC5">
        <w:rPr>
          <w:rFonts w:cstheme="minorHAnsi"/>
          <w:b/>
          <w:sz w:val="18"/>
          <w:szCs w:val="18"/>
        </w:rPr>
        <w:t xml:space="preserve">                       </w:t>
      </w:r>
      <w:r>
        <w:rPr>
          <w:rFonts w:cstheme="minorHAnsi"/>
          <w:b/>
          <w:sz w:val="18"/>
          <w:szCs w:val="18"/>
        </w:rPr>
        <w:t xml:space="preserve">120 LEDs per metre = 9.6W per </w:t>
      </w:r>
      <w:r w:rsidR="00BF570B" w:rsidRPr="005217DD">
        <w:rPr>
          <w:b/>
          <w:sz w:val="20"/>
          <w:szCs w:val="20"/>
          <w:u w:val="single"/>
        </w:rPr>
        <w:t>Lite</w:t>
      </w:r>
      <w:r w:rsidR="00BF570B">
        <w:rPr>
          <w:b/>
          <w:sz w:val="20"/>
          <w:szCs w:val="20"/>
          <w:u w:val="single"/>
        </w:rPr>
        <w:t>bar®</w:t>
      </w:r>
    </w:p>
    <w:p w14:paraId="2F39488A" w14:textId="475BEFBA" w:rsidR="00A43798" w:rsidRDefault="00A43798" w:rsidP="0084022C">
      <w:pPr>
        <w:spacing w:after="0"/>
        <w:rPr>
          <w:b/>
          <w:sz w:val="20"/>
          <w:szCs w:val="20"/>
          <w:u w:val="single"/>
        </w:rPr>
      </w:pPr>
      <w:r>
        <w:rPr>
          <w:rFonts w:cstheme="minorHAnsi"/>
          <w:b/>
          <w:sz w:val="18"/>
          <w:szCs w:val="18"/>
        </w:rPr>
        <w:t xml:space="preserve">    </w:t>
      </w:r>
      <w:r w:rsidR="006D0FAB">
        <w:rPr>
          <w:rFonts w:cstheme="minorHAnsi"/>
          <w:b/>
          <w:sz w:val="18"/>
          <w:szCs w:val="18"/>
        </w:rPr>
        <w:t xml:space="preserve">                              </w:t>
      </w:r>
      <w:r w:rsidR="00EB1AC5">
        <w:rPr>
          <w:rFonts w:cstheme="minorHAnsi"/>
          <w:b/>
          <w:sz w:val="18"/>
          <w:szCs w:val="18"/>
        </w:rPr>
        <w:t xml:space="preserve">                                                      </w:t>
      </w:r>
      <w:r>
        <w:rPr>
          <w:rFonts w:cstheme="minorHAnsi"/>
          <w:b/>
          <w:sz w:val="18"/>
          <w:szCs w:val="18"/>
        </w:rPr>
        <w:t xml:space="preserve">240 LEDs per metre = 19.2W per </w:t>
      </w:r>
      <w:r w:rsidR="00BF570B" w:rsidRPr="005217DD">
        <w:rPr>
          <w:b/>
          <w:sz w:val="20"/>
          <w:szCs w:val="20"/>
          <w:u w:val="single"/>
        </w:rPr>
        <w:t>Lite</w:t>
      </w:r>
      <w:r w:rsidR="00BF570B">
        <w:rPr>
          <w:b/>
          <w:sz w:val="20"/>
          <w:szCs w:val="20"/>
          <w:u w:val="single"/>
        </w:rPr>
        <w:t>bar®</w:t>
      </w:r>
    </w:p>
    <w:p w14:paraId="1A805B44" w14:textId="4E30A362" w:rsidR="00A43798" w:rsidRDefault="00E86BFD" w:rsidP="0084022C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</w:t>
      </w:r>
    </w:p>
    <w:p w14:paraId="3AF8D007" w14:textId="666C3CA2" w:rsidR="00A31557" w:rsidRDefault="006D0FAB" w:rsidP="0084022C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</w:t>
      </w:r>
      <w:r w:rsidR="001B5B8A">
        <w:rPr>
          <w:rFonts w:cstheme="minorHAnsi"/>
          <w:b/>
          <w:sz w:val="18"/>
          <w:szCs w:val="18"/>
        </w:rPr>
        <w:t xml:space="preserve">Natural </w:t>
      </w:r>
      <w:r>
        <w:rPr>
          <w:rFonts w:cstheme="minorHAnsi"/>
          <w:b/>
          <w:sz w:val="18"/>
          <w:szCs w:val="18"/>
        </w:rPr>
        <w:t>White</w:t>
      </w:r>
      <w:r w:rsidR="00E32E19">
        <w:rPr>
          <w:rFonts w:cstheme="minorHAnsi"/>
          <w:b/>
          <w:sz w:val="18"/>
          <w:szCs w:val="18"/>
        </w:rPr>
        <w:t xml:space="preserve"> </w:t>
      </w:r>
      <w:r w:rsidR="001B5B8A">
        <w:rPr>
          <w:rFonts w:cstheme="minorHAnsi"/>
          <w:b/>
          <w:sz w:val="18"/>
          <w:szCs w:val="18"/>
        </w:rPr>
        <w:t>High Output</w:t>
      </w:r>
      <w:r w:rsidR="00EB1AC5">
        <w:rPr>
          <w:rFonts w:cstheme="minorHAnsi"/>
          <w:b/>
          <w:sz w:val="18"/>
          <w:szCs w:val="18"/>
        </w:rPr>
        <w:t>)</w:t>
      </w:r>
      <w:r w:rsidR="001B5B8A">
        <w:rPr>
          <w:rFonts w:cstheme="minorHAnsi"/>
          <w:b/>
          <w:sz w:val="18"/>
          <w:szCs w:val="18"/>
        </w:rPr>
        <w:t xml:space="preserve">:   </w:t>
      </w:r>
      <w:r w:rsidR="00EB1AC5">
        <w:rPr>
          <w:rFonts w:cstheme="minorHAnsi"/>
          <w:b/>
          <w:sz w:val="18"/>
          <w:szCs w:val="18"/>
        </w:rPr>
        <w:t xml:space="preserve">                                 </w:t>
      </w:r>
      <w:r w:rsidR="00E32E19">
        <w:rPr>
          <w:rFonts w:cstheme="minorHAnsi"/>
          <w:b/>
          <w:sz w:val="18"/>
          <w:szCs w:val="18"/>
        </w:rPr>
        <w:t xml:space="preserve">60 LEDs per metre = </w:t>
      </w:r>
      <w:r w:rsidR="00157DC2">
        <w:rPr>
          <w:rFonts w:cstheme="minorHAnsi"/>
          <w:b/>
          <w:sz w:val="18"/>
          <w:szCs w:val="18"/>
        </w:rPr>
        <w:t>11.5</w:t>
      </w:r>
      <w:r w:rsidR="002B4DB1">
        <w:rPr>
          <w:rFonts w:cstheme="minorHAnsi"/>
          <w:b/>
          <w:sz w:val="18"/>
          <w:szCs w:val="18"/>
        </w:rPr>
        <w:t xml:space="preserve">W per </w:t>
      </w:r>
      <w:r w:rsidR="002B4DB1" w:rsidRPr="002B4DB1">
        <w:rPr>
          <w:rFonts w:cstheme="minorHAnsi"/>
          <w:b/>
          <w:sz w:val="18"/>
          <w:szCs w:val="18"/>
          <w:u w:val="single"/>
        </w:rPr>
        <w:t>Litebar</w:t>
      </w:r>
      <w:r w:rsidR="002B4DB1">
        <w:rPr>
          <w:rFonts w:cstheme="minorHAnsi"/>
          <w:b/>
          <w:sz w:val="18"/>
          <w:szCs w:val="18"/>
        </w:rPr>
        <w:t>®</w:t>
      </w:r>
    </w:p>
    <w:p w14:paraId="2A38A269" w14:textId="74EFB853" w:rsidR="00EB1AC5" w:rsidRPr="00D06B91" w:rsidRDefault="00EB1AC5" w:rsidP="0084022C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</w:t>
      </w:r>
      <w:r>
        <w:rPr>
          <w:rFonts w:cstheme="minorHAnsi"/>
          <w:b/>
          <w:sz w:val="18"/>
          <w:szCs w:val="18"/>
        </w:rPr>
        <w:t>(</w:t>
      </w:r>
      <w:r>
        <w:rPr>
          <w:rFonts w:cstheme="minorHAnsi"/>
          <w:b/>
          <w:sz w:val="18"/>
          <w:szCs w:val="18"/>
        </w:rPr>
        <w:t>Up</w:t>
      </w:r>
      <w:r>
        <w:rPr>
          <w:rFonts w:cstheme="minorHAnsi"/>
          <w:b/>
          <w:sz w:val="18"/>
          <w:szCs w:val="18"/>
        </w:rPr>
        <w:t xml:space="preserve"> to 3500 lumens at source</w:t>
      </w:r>
      <w:r>
        <w:rPr>
          <w:rFonts w:cstheme="minorHAnsi"/>
          <w:b/>
          <w:sz w:val="18"/>
          <w:szCs w:val="18"/>
        </w:rPr>
        <w:t xml:space="preserve">)                             120 LEDs per </w:t>
      </w:r>
      <w:r w:rsidR="00895281">
        <w:rPr>
          <w:rFonts w:cstheme="minorHAnsi"/>
          <w:b/>
          <w:sz w:val="18"/>
          <w:szCs w:val="18"/>
        </w:rPr>
        <w:t>metre =</w:t>
      </w:r>
      <w:r>
        <w:rPr>
          <w:rFonts w:cstheme="minorHAnsi"/>
          <w:b/>
          <w:sz w:val="18"/>
          <w:szCs w:val="18"/>
        </w:rPr>
        <w:t xml:space="preserve"> 23W per Litebar</w:t>
      </w:r>
    </w:p>
    <w:p w14:paraId="2FC2ECAC" w14:textId="77777777" w:rsidR="001B5B8A" w:rsidRDefault="001B5B8A" w:rsidP="0084022C">
      <w:pPr>
        <w:spacing w:after="0"/>
        <w:rPr>
          <w:rFonts w:cstheme="minorHAnsi"/>
          <w:b/>
          <w:sz w:val="18"/>
          <w:szCs w:val="18"/>
        </w:rPr>
      </w:pPr>
    </w:p>
    <w:p w14:paraId="1A953C3D" w14:textId="42AE320D" w:rsidR="00D76EE9" w:rsidRDefault="00A43798" w:rsidP="0084022C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IP Ratings: IP20, IP64 &amp; IP68</w:t>
      </w:r>
    </w:p>
    <w:p w14:paraId="3148FD5D" w14:textId="60CC5993" w:rsidR="00CC3051" w:rsidRPr="00D06B91" w:rsidRDefault="00CC3051" w:rsidP="0084022C">
      <w:pPr>
        <w:spacing w:after="0"/>
        <w:rPr>
          <w:rFonts w:cstheme="minorHAnsi"/>
          <w:b/>
          <w:sz w:val="18"/>
          <w:szCs w:val="18"/>
        </w:rPr>
      </w:pPr>
      <w:r w:rsidRPr="00D06B91">
        <w:rPr>
          <w:rFonts w:cstheme="minorHAnsi"/>
          <w:b/>
          <w:sz w:val="18"/>
          <w:szCs w:val="18"/>
        </w:rPr>
        <w:t>Storage temperature:  -40C to +80C</w:t>
      </w:r>
    </w:p>
    <w:p w14:paraId="67D294B3" w14:textId="76713F13" w:rsidR="00CC3051" w:rsidRPr="00D06B91" w:rsidRDefault="00CC3051" w:rsidP="0084022C">
      <w:pPr>
        <w:spacing w:after="0"/>
        <w:rPr>
          <w:rFonts w:cstheme="minorHAnsi"/>
          <w:b/>
          <w:sz w:val="18"/>
          <w:szCs w:val="18"/>
        </w:rPr>
      </w:pPr>
      <w:r w:rsidRPr="00D06B91">
        <w:rPr>
          <w:rFonts w:cstheme="minorHAnsi"/>
          <w:b/>
          <w:sz w:val="18"/>
          <w:szCs w:val="18"/>
        </w:rPr>
        <w:t>Operating Temperature: -25C to +60C</w:t>
      </w:r>
    </w:p>
    <w:p w14:paraId="1BC7AAB3" w14:textId="77777777" w:rsidR="002B4DB1" w:rsidRDefault="002B4DB1" w:rsidP="0084022C">
      <w:pPr>
        <w:spacing w:after="0"/>
        <w:rPr>
          <w:rFonts w:cstheme="minorHAnsi"/>
          <w:b/>
          <w:sz w:val="18"/>
          <w:szCs w:val="18"/>
        </w:rPr>
      </w:pPr>
    </w:p>
    <w:p w14:paraId="3BC32A20" w14:textId="7115B654" w:rsidR="004D7A8D" w:rsidRDefault="00895281" w:rsidP="0084022C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</w:t>
      </w:r>
      <w:r w:rsidR="00CC3051" w:rsidRPr="00D06B91">
        <w:rPr>
          <w:rFonts w:cstheme="minorHAnsi"/>
          <w:b/>
          <w:sz w:val="18"/>
          <w:szCs w:val="18"/>
        </w:rPr>
        <w:t>t is not recommended that the units be shortened</w:t>
      </w:r>
      <w:r w:rsidR="0084022C" w:rsidRPr="00D06B91">
        <w:rPr>
          <w:rFonts w:cstheme="minorHAnsi"/>
          <w:b/>
          <w:sz w:val="18"/>
          <w:szCs w:val="18"/>
        </w:rPr>
        <w:t xml:space="preserve"> in length</w:t>
      </w:r>
      <w:r>
        <w:rPr>
          <w:rFonts w:cstheme="minorHAnsi"/>
          <w:b/>
          <w:sz w:val="18"/>
          <w:szCs w:val="18"/>
        </w:rPr>
        <w:t xml:space="preserve">. 500mm units are available as an alternative to standard 1000mm units. </w:t>
      </w:r>
    </w:p>
    <w:p w14:paraId="70E821DA" w14:textId="2DD7F029" w:rsidR="00B20C45" w:rsidRDefault="00B20C45" w:rsidP="0084022C">
      <w:pPr>
        <w:spacing w:after="0"/>
        <w:rPr>
          <w:rFonts w:cstheme="minorHAnsi"/>
          <w:b/>
          <w:sz w:val="18"/>
          <w:szCs w:val="18"/>
        </w:rPr>
      </w:pPr>
    </w:p>
    <w:p w14:paraId="65ABDA48" w14:textId="4A3809FF" w:rsidR="00B20C45" w:rsidRDefault="00551945" w:rsidP="0084022C">
      <w:pPr>
        <w:spacing w:after="0"/>
        <w:rPr>
          <w:rFonts w:cstheme="minorHAnsi"/>
          <w:b/>
          <w:sz w:val="18"/>
          <w:szCs w:val="18"/>
        </w:rPr>
      </w:pPr>
      <w:r w:rsidRPr="00551945">
        <w:rPr>
          <w:rFonts w:cstheme="minorHAnsi"/>
          <w:b/>
          <w:sz w:val="18"/>
          <w:szCs w:val="18"/>
          <w:u w:val="single"/>
        </w:rPr>
        <w:t>Safety compliance</w:t>
      </w:r>
      <w:r>
        <w:rPr>
          <w:rFonts w:cstheme="minorHAnsi"/>
          <w:b/>
          <w:sz w:val="18"/>
          <w:szCs w:val="18"/>
        </w:rPr>
        <w:t>:</w:t>
      </w:r>
    </w:p>
    <w:p w14:paraId="22057039" w14:textId="77777777" w:rsidR="00EB6074" w:rsidRDefault="00EB6074" w:rsidP="0084022C">
      <w:pPr>
        <w:spacing w:after="0"/>
        <w:rPr>
          <w:rFonts w:cstheme="minorHAnsi"/>
          <w:b/>
          <w:sz w:val="18"/>
          <w:szCs w:val="18"/>
        </w:rPr>
      </w:pPr>
    </w:p>
    <w:p w14:paraId="541A58CC" w14:textId="0751D37A" w:rsidR="00551945" w:rsidRPr="00D06B91" w:rsidRDefault="00BF570B" w:rsidP="0084022C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The </w:t>
      </w:r>
      <w:r w:rsidRPr="005217DD">
        <w:rPr>
          <w:b/>
          <w:sz w:val="20"/>
          <w:szCs w:val="20"/>
          <w:u w:val="single"/>
        </w:rPr>
        <w:t>Lite</w:t>
      </w:r>
      <w:r>
        <w:rPr>
          <w:b/>
          <w:sz w:val="20"/>
          <w:szCs w:val="20"/>
          <w:u w:val="single"/>
        </w:rPr>
        <w:t xml:space="preserve">bar® </w:t>
      </w:r>
      <w:r w:rsidR="007C0537">
        <w:rPr>
          <w:rFonts w:cstheme="minorHAnsi"/>
          <w:b/>
          <w:sz w:val="18"/>
          <w:szCs w:val="18"/>
        </w:rPr>
        <w:t xml:space="preserve">units and their component parts have been tested both above and </w:t>
      </w:r>
      <w:r w:rsidR="00874624">
        <w:rPr>
          <w:rFonts w:cstheme="minorHAnsi"/>
          <w:b/>
          <w:sz w:val="18"/>
          <w:szCs w:val="18"/>
        </w:rPr>
        <w:t>below</w:t>
      </w:r>
      <w:r w:rsidR="007C0537">
        <w:rPr>
          <w:rFonts w:cstheme="minorHAnsi"/>
          <w:b/>
          <w:sz w:val="18"/>
          <w:szCs w:val="18"/>
        </w:rPr>
        <w:t xml:space="preserve"> water </w:t>
      </w:r>
      <w:r w:rsidR="00F14FC3">
        <w:rPr>
          <w:rFonts w:cstheme="minorHAnsi"/>
          <w:b/>
          <w:sz w:val="18"/>
          <w:szCs w:val="18"/>
        </w:rPr>
        <w:t>for over three years</w:t>
      </w:r>
      <w:r w:rsidR="006938D8">
        <w:rPr>
          <w:rFonts w:cstheme="minorHAnsi"/>
          <w:b/>
          <w:sz w:val="18"/>
          <w:szCs w:val="18"/>
        </w:rPr>
        <w:t xml:space="preserve"> in challenging climatic conditions</w:t>
      </w:r>
      <w:r w:rsidR="00F14FC3">
        <w:rPr>
          <w:rFonts w:cstheme="minorHAnsi"/>
          <w:b/>
          <w:sz w:val="18"/>
          <w:szCs w:val="18"/>
        </w:rPr>
        <w:t xml:space="preserve"> – and have shown no </w:t>
      </w:r>
      <w:r w:rsidR="00874624">
        <w:rPr>
          <w:rFonts w:cstheme="minorHAnsi"/>
          <w:b/>
          <w:sz w:val="18"/>
          <w:szCs w:val="18"/>
        </w:rPr>
        <w:t>noticeable degradation</w:t>
      </w:r>
      <w:r w:rsidR="00637543">
        <w:rPr>
          <w:rFonts w:cstheme="minorHAnsi"/>
          <w:b/>
          <w:sz w:val="18"/>
          <w:szCs w:val="18"/>
        </w:rPr>
        <w:t xml:space="preserve">, or potential safety hazards. As they are </w:t>
      </w:r>
      <w:proofErr w:type="gramStart"/>
      <w:r w:rsidR="00637543">
        <w:rPr>
          <w:rFonts w:cstheme="minorHAnsi"/>
          <w:b/>
          <w:sz w:val="18"/>
          <w:szCs w:val="18"/>
        </w:rPr>
        <w:t>only</w:t>
      </w:r>
      <w:proofErr w:type="gramEnd"/>
      <w:r w:rsidR="00637543">
        <w:rPr>
          <w:rFonts w:cstheme="minorHAnsi"/>
          <w:b/>
          <w:sz w:val="18"/>
          <w:szCs w:val="18"/>
        </w:rPr>
        <w:t xml:space="preserve"> 12v, they are exempt from </w:t>
      </w:r>
      <w:r w:rsidR="002E743E">
        <w:rPr>
          <w:rFonts w:cstheme="minorHAnsi"/>
          <w:b/>
          <w:sz w:val="18"/>
          <w:szCs w:val="18"/>
        </w:rPr>
        <w:t xml:space="preserve">all </w:t>
      </w:r>
      <w:r w:rsidR="007D3D08">
        <w:rPr>
          <w:rFonts w:cstheme="minorHAnsi"/>
          <w:b/>
          <w:sz w:val="18"/>
          <w:szCs w:val="18"/>
        </w:rPr>
        <w:t xml:space="preserve">relevant </w:t>
      </w:r>
      <w:r w:rsidR="002E743E">
        <w:rPr>
          <w:rFonts w:cstheme="minorHAnsi"/>
          <w:b/>
          <w:sz w:val="18"/>
          <w:szCs w:val="18"/>
        </w:rPr>
        <w:t xml:space="preserve">EU </w:t>
      </w:r>
      <w:r w:rsidR="00E520A8">
        <w:rPr>
          <w:rFonts w:cstheme="minorHAnsi"/>
          <w:b/>
          <w:sz w:val="18"/>
          <w:szCs w:val="18"/>
        </w:rPr>
        <w:t xml:space="preserve">Directives. </w:t>
      </w:r>
      <w:r w:rsidR="003652D3">
        <w:rPr>
          <w:rFonts w:cstheme="minorHAnsi"/>
          <w:b/>
          <w:sz w:val="18"/>
          <w:szCs w:val="18"/>
        </w:rPr>
        <w:t xml:space="preserve">That said, </w:t>
      </w:r>
      <w:r w:rsidR="00E50FB6">
        <w:rPr>
          <w:rFonts w:cstheme="minorHAnsi"/>
          <w:b/>
          <w:sz w:val="18"/>
          <w:szCs w:val="18"/>
        </w:rPr>
        <w:t xml:space="preserve">the </w:t>
      </w:r>
      <w:r w:rsidR="009A7596">
        <w:rPr>
          <w:rFonts w:cstheme="minorHAnsi"/>
          <w:b/>
          <w:sz w:val="18"/>
          <w:szCs w:val="18"/>
        </w:rPr>
        <w:t xml:space="preserve">drivers / transformers </w:t>
      </w:r>
      <w:r w:rsidR="00E50FB6">
        <w:rPr>
          <w:rFonts w:cstheme="minorHAnsi"/>
          <w:b/>
          <w:sz w:val="18"/>
          <w:szCs w:val="18"/>
        </w:rPr>
        <w:t xml:space="preserve">to which they’re connected, MUST </w:t>
      </w:r>
      <w:r w:rsidR="0071410F">
        <w:rPr>
          <w:rFonts w:cstheme="minorHAnsi"/>
          <w:b/>
          <w:sz w:val="18"/>
          <w:szCs w:val="18"/>
        </w:rPr>
        <w:t xml:space="preserve">be </w:t>
      </w:r>
      <w:r w:rsidR="00BB2081">
        <w:rPr>
          <w:rFonts w:cstheme="minorHAnsi"/>
          <w:b/>
          <w:sz w:val="18"/>
          <w:szCs w:val="18"/>
        </w:rPr>
        <w:t>CE compliant</w:t>
      </w:r>
      <w:r w:rsidR="0071410F">
        <w:rPr>
          <w:rFonts w:cstheme="minorHAnsi"/>
          <w:b/>
          <w:sz w:val="18"/>
          <w:szCs w:val="18"/>
        </w:rPr>
        <w:t xml:space="preserve"> </w:t>
      </w:r>
      <w:r w:rsidR="004834F4">
        <w:rPr>
          <w:rFonts w:cstheme="minorHAnsi"/>
          <w:b/>
          <w:sz w:val="18"/>
          <w:szCs w:val="18"/>
        </w:rPr>
        <w:t xml:space="preserve">and display a </w:t>
      </w:r>
      <w:r w:rsidR="00BB2081">
        <w:rPr>
          <w:rFonts w:cstheme="minorHAnsi"/>
          <w:b/>
          <w:sz w:val="18"/>
          <w:szCs w:val="18"/>
        </w:rPr>
        <w:t>stamp or certificate</w:t>
      </w:r>
      <w:r w:rsidR="004834F4">
        <w:rPr>
          <w:rFonts w:cstheme="minorHAnsi"/>
          <w:b/>
          <w:sz w:val="18"/>
          <w:szCs w:val="18"/>
        </w:rPr>
        <w:t xml:space="preserve"> similar to that shown below.</w:t>
      </w:r>
    </w:p>
    <w:p w14:paraId="0B9EDFA2" w14:textId="7470CBE5" w:rsidR="0084022C" w:rsidRDefault="0084022C" w:rsidP="0084022C">
      <w:pPr>
        <w:spacing w:after="0"/>
      </w:pPr>
      <w:r>
        <w:rPr>
          <w:noProof/>
          <w:lang w:eastAsia="en-GB"/>
        </w:rPr>
        <w:drawing>
          <wp:inline distT="0" distB="0" distL="0" distR="0" wp14:anchorId="19B57C63" wp14:editId="6BD5C741">
            <wp:extent cx="1018758" cy="675487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83" cy="71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112A" w14:textId="49E85E10" w:rsidR="00EB6074" w:rsidRDefault="00FD556A" w:rsidP="00EB607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* Only</w:t>
      </w:r>
      <w:r w:rsidR="00EB6074">
        <w:rPr>
          <w:b/>
          <w:sz w:val="18"/>
          <w:szCs w:val="18"/>
        </w:rPr>
        <w:t xml:space="preserve"> </w:t>
      </w:r>
      <w:r w:rsidR="00BF570B" w:rsidRPr="005217DD">
        <w:rPr>
          <w:b/>
          <w:sz w:val="20"/>
          <w:szCs w:val="20"/>
          <w:u w:val="single"/>
        </w:rPr>
        <w:t>Lite</w:t>
      </w:r>
      <w:r w:rsidR="00BF570B">
        <w:rPr>
          <w:b/>
          <w:sz w:val="20"/>
          <w:szCs w:val="20"/>
          <w:u w:val="single"/>
        </w:rPr>
        <w:t xml:space="preserve">bars® </w:t>
      </w:r>
      <w:r w:rsidR="00EB6074">
        <w:rPr>
          <w:b/>
          <w:sz w:val="18"/>
          <w:szCs w:val="18"/>
        </w:rPr>
        <w:t>with IP68 LED</w:t>
      </w:r>
      <w:r w:rsidR="00410774">
        <w:rPr>
          <w:b/>
          <w:sz w:val="18"/>
          <w:szCs w:val="18"/>
        </w:rPr>
        <w:t xml:space="preserve">s </w:t>
      </w:r>
      <w:r w:rsidR="00EB6074">
        <w:rPr>
          <w:b/>
          <w:sz w:val="18"/>
          <w:szCs w:val="18"/>
        </w:rPr>
        <w:t>can be used under water</w:t>
      </w:r>
      <w:r w:rsidR="00410774">
        <w:rPr>
          <w:b/>
          <w:sz w:val="18"/>
          <w:szCs w:val="18"/>
        </w:rPr>
        <w:t xml:space="preserve"> </w:t>
      </w:r>
      <w:r w:rsidR="00EB6074">
        <w:rPr>
          <w:b/>
          <w:sz w:val="18"/>
          <w:szCs w:val="18"/>
        </w:rPr>
        <w:t xml:space="preserve">and are guaranteed to a maximum depth of </w:t>
      </w:r>
      <w:r w:rsidR="00410774">
        <w:rPr>
          <w:b/>
          <w:sz w:val="18"/>
          <w:szCs w:val="18"/>
        </w:rPr>
        <w:t xml:space="preserve">5 </w:t>
      </w:r>
      <w:r w:rsidR="00EB6074">
        <w:rPr>
          <w:b/>
          <w:sz w:val="18"/>
          <w:szCs w:val="18"/>
        </w:rPr>
        <w:t>metre</w:t>
      </w:r>
      <w:r w:rsidR="00A43798">
        <w:rPr>
          <w:b/>
          <w:sz w:val="18"/>
          <w:szCs w:val="18"/>
        </w:rPr>
        <w:t>s</w:t>
      </w:r>
      <w:r w:rsidR="00EB6074">
        <w:rPr>
          <w:b/>
          <w:sz w:val="18"/>
          <w:szCs w:val="18"/>
        </w:rPr>
        <w:t xml:space="preserve">. </w:t>
      </w:r>
    </w:p>
    <w:p w14:paraId="6EEE86B6" w14:textId="1EF5EDEC" w:rsidR="00962B44" w:rsidRDefault="00962B44" w:rsidP="0084022C">
      <w:pPr>
        <w:spacing w:after="0"/>
        <w:rPr>
          <w:b/>
          <w:sz w:val="18"/>
          <w:szCs w:val="18"/>
          <w:u w:val="single"/>
        </w:rPr>
      </w:pPr>
    </w:p>
    <w:p w14:paraId="264B02E9" w14:textId="0B44F16D" w:rsidR="00D06B91" w:rsidRPr="006A2304" w:rsidRDefault="005217DD" w:rsidP="0084022C">
      <w:pPr>
        <w:spacing w:after="0"/>
        <w:rPr>
          <w:b/>
          <w:sz w:val="18"/>
          <w:szCs w:val="18"/>
        </w:rPr>
      </w:pPr>
      <w:r w:rsidRPr="006A2304">
        <w:rPr>
          <w:b/>
          <w:sz w:val="18"/>
          <w:szCs w:val="18"/>
          <w:u w:val="single"/>
        </w:rPr>
        <w:t>E</w:t>
      </w:r>
      <w:r w:rsidR="006A2304" w:rsidRPr="006A2304">
        <w:rPr>
          <w:b/>
          <w:sz w:val="18"/>
          <w:szCs w:val="18"/>
          <w:u w:val="single"/>
        </w:rPr>
        <w:t>nd of life disposa</w:t>
      </w:r>
      <w:r w:rsidR="006A2304" w:rsidRPr="006A2304">
        <w:rPr>
          <w:b/>
          <w:sz w:val="18"/>
          <w:szCs w:val="18"/>
        </w:rPr>
        <w:t>l:</w:t>
      </w:r>
    </w:p>
    <w:p w14:paraId="7DCFA181" w14:textId="182D8902" w:rsidR="006A2304" w:rsidRDefault="006A2304" w:rsidP="0084022C">
      <w:pPr>
        <w:spacing w:after="0"/>
        <w:rPr>
          <w:sz w:val="18"/>
          <w:szCs w:val="18"/>
        </w:rPr>
      </w:pPr>
    </w:p>
    <w:p w14:paraId="71745D55" w14:textId="5B7C224C" w:rsidR="006A2304" w:rsidRPr="00D06B91" w:rsidRDefault="00A93A13" w:rsidP="0084022C">
      <w:pPr>
        <w:spacing w:after="0"/>
        <w:rPr>
          <w:sz w:val="18"/>
          <w:szCs w:val="18"/>
        </w:rPr>
      </w:pPr>
      <w:r w:rsidRPr="00EF41A1">
        <w:rPr>
          <w:b/>
          <w:sz w:val="18"/>
          <w:szCs w:val="18"/>
        </w:rPr>
        <w:t>All products should be disposed of responsibly</w:t>
      </w:r>
      <w:r w:rsidR="00F82D1E" w:rsidRPr="00EF41A1">
        <w:rPr>
          <w:b/>
          <w:sz w:val="18"/>
          <w:szCs w:val="18"/>
        </w:rPr>
        <w:t xml:space="preserve">. The </w:t>
      </w:r>
      <w:r w:rsidR="00140F3B" w:rsidRPr="00EF41A1">
        <w:rPr>
          <w:b/>
          <w:sz w:val="18"/>
          <w:szCs w:val="18"/>
        </w:rPr>
        <w:t xml:space="preserve">various versions of the </w:t>
      </w:r>
      <w:r w:rsidR="00BF570B" w:rsidRPr="005217DD">
        <w:rPr>
          <w:b/>
          <w:sz w:val="20"/>
          <w:szCs w:val="20"/>
          <w:u w:val="single"/>
        </w:rPr>
        <w:t>Lite</w:t>
      </w:r>
      <w:r w:rsidR="00BF570B">
        <w:rPr>
          <w:b/>
          <w:sz w:val="20"/>
          <w:szCs w:val="20"/>
          <w:u w:val="single"/>
        </w:rPr>
        <w:t>bar</w:t>
      </w:r>
      <w:r w:rsidR="00FD556A">
        <w:rPr>
          <w:b/>
          <w:sz w:val="20"/>
          <w:szCs w:val="20"/>
          <w:u w:val="single"/>
        </w:rPr>
        <w:t xml:space="preserve">® </w:t>
      </w:r>
      <w:r w:rsidR="00FD556A" w:rsidRPr="00EF41A1">
        <w:rPr>
          <w:b/>
          <w:sz w:val="18"/>
          <w:szCs w:val="18"/>
        </w:rPr>
        <w:t>consist</w:t>
      </w:r>
      <w:r w:rsidR="00F82D1E" w:rsidRPr="00EF41A1">
        <w:rPr>
          <w:b/>
          <w:sz w:val="18"/>
          <w:szCs w:val="18"/>
        </w:rPr>
        <w:t xml:space="preserve"> of </w:t>
      </w:r>
      <w:r w:rsidR="009262CC" w:rsidRPr="00EF41A1">
        <w:rPr>
          <w:b/>
          <w:sz w:val="18"/>
          <w:szCs w:val="18"/>
        </w:rPr>
        <w:t xml:space="preserve">two of </w:t>
      </w:r>
      <w:r w:rsidR="00F82D1E" w:rsidRPr="00EF41A1">
        <w:rPr>
          <w:b/>
          <w:sz w:val="18"/>
          <w:szCs w:val="18"/>
        </w:rPr>
        <w:t xml:space="preserve">three parts – Aluminium, </w:t>
      </w:r>
      <w:r w:rsidR="00A21914">
        <w:rPr>
          <w:b/>
          <w:sz w:val="18"/>
          <w:szCs w:val="18"/>
        </w:rPr>
        <w:t>ABS</w:t>
      </w:r>
      <w:r w:rsidR="00F82D1E" w:rsidRPr="00EF41A1">
        <w:rPr>
          <w:b/>
          <w:sz w:val="18"/>
          <w:szCs w:val="18"/>
        </w:rPr>
        <w:t xml:space="preserve"> and </w:t>
      </w:r>
      <w:r w:rsidR="00140F3B" w:rsidRPr="00EF41A1">
        <w:rPr>
          <w:b/>
          <w:sz w:val="18"/>
          <w:szCs w:val="18"/>
        </w:rPr>
        <w:t>silicone coated lighting</w:t>
      </w:r>
      <w:r w:rsidR="00313CC2" w:rsidRPr="00EF41A1">
        <w:rPr>
          <w:b/>
          <w:sz w:val="18"/>
          <w:szCs w:val="18"/>
        </w:rPr>
        <w:t xml:space="preserve">. </w:t>
      </w:r>
      <w:r w:rsidR="004B04E4" w:rsidRPr="00EF41A1">
        <w:rPr>
          <w:b/>
          <w:sz w:val="18"/>
          <w:szCs w:val="18"/>
        </w:rPr>
        <w:t xml:space="preserve"> </w:t>
      </w:r>
      <w:r w:rsidR="00A976C5" w:rsidRPr="00EF41A1">
        <w:rPr>
          <w:b/>
          <w:sz w:val="18"/>
          <w:szCs w:val="18"/>
        </w:rPr>
        <w:t xml:space="preserve">Both Aluminium and </w:t>
      </w:r>
      <w:r w:rsidR="00F82D1E" w:rsidRPr="00EF41A1">
        <w:rPr>
          <w:b/>
          <w:sz w:val="18"/>
          <w:szCs w:val="18"/>
        </w:rPr>
        <w:t xml:space="preserve">PVC </w:t>
      </w:r>
      <w:r w:rsidR="00EF41A1" w:rsidRPr="00EF41A1">
        <w:rPr>
          <w:b/>
          <w:sz w:val="18"/>
          <w:szCs w:val="18"/>
        </w:rPr>
        <w:t xml:space="preserve">are </w:t>
      </w:r>
      <w:r w:rsidR="00F82D1E" w:rsidRPr="00EF41A1">
        <w:rPr>
          <w:b/>
          <w:sz w:val="18"/>
          <w:szCs w:val="18"/>
        </w:rPr>
        <w:t>100% recyclable</w:t>
      </w:r>
      <w:r w:rsidR="00313CC2" w:rsidRPr="00EF41A1">
        <w:rPr>
          <w:b/>
          <w:sz w:val="18"/>
          <w:szCs w:val="18"/>
        </w:rPr>
        <w:t xml:space="preserve">. </w:t>
      </w:r>
      <w:r w:rsidR="009B5EA1" w:rsidRPr="00EF41A1">
        <w:rPr>
          <w:b/>
          <w:sz w:val="18"/>
          <w:szCs w:val="18"/>
        </w:rPr>
        <w:t>Regarding silicone, although there are specialist recy</w:t>
      </w:r>
      <w:r w:rsidR="00310419" w:rsidRPr="00EF41A1">
        <w:rPr>
          <w:b/>
          <w:sz w:val="18"/>
          <w:szCs w:val="18"/>
        </w:rPr>
        <w:t>cling companies</w:t>
      </w:r>
      <w:r w:rsidR="00584C51" w:rsidRPr="00EF41A1">
        <w:rPr>
          <w:b/>
          <w:sz w:val="18"/>
          <w:szCs w:val="18"/>
        </w:rPr>
        <w:t xml:space="preserve"> (see our website)</w:t>
      </w:r>
      <w:r w:rsidR="00310419" w:rsidRPr="00EF41A1">
        <w:rPr>
          <w:b/>
          <w:sz w:val="18"/>
          <w:szCs w:val="18"/>
        </w:rPr>
        <w:t xml:space="preserve">, we recommend </w:t>
      </w:r>
      <w:r w:rsidR="00584C51" w:rsidRPr="00EF41A1">
        <w:rPr>
          <w:b/>
          <w:sz w:val="18"/>
          <w:szCs w:val="18"/>
        </w:rPr>
        <w:t>landfill or incineration</w:t>
      </w:r>
      <w:r w:rsidR="00962B44">
        <w:rPr>
          <w:b/>
          <w:sz w:val="18"/>
          <w:szCs w:val="18"/>
        </w:rPr>
        <w:t>.</w:t>
      </w:r>
    </w:p>
    <w:sectPr w:rsidR="006A2304" w:rsidRPr="00D06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F2"/>
    <w:rsid w:val="000023B7"/>
    <w:rsid w:val="00020353"/>
    <w:rsid w:val="000F0693"/>
    <w:rsid w:val="000F3817"/>
    <w:rsid w:val="00140F3B"/>
    <w:rsid w:val="00157DC2"/>
    <w:rsid w:val="00182A31"/>
    <w:rsid w:val="001B5B8A"/>
    <w:rsid w:val="001F467C"/>
    <w:rsid w:val="002032F3"/>
    <w:rsid w:val="0021641B"/>
    <w:rsid w:val="002B4DB1"/>
    <w:rsid w:val="002E743E"/>
    <w:rsid w:val="002F2DDC"/>
    <w:rsid w:val="00310419"/>
    <w:rsid w:val="0031337E"/>
    <w:rsid w:val="00313CC2"/>
    <w:rsid w:val="00320736"/>
    <w:rsid w:val="00343B28"/>
    <w:rsid w:val="003652D3"/>
    <w:rsid w:val="003B7F12"/>
    <w:rsid w:val="003E57E9"/>
    <w:rsid w:val="00410774"/>
    <w:rsid w:val="00457B81"/>
    <w:rsid w:val="004834F4"/>
    <w:rsid w:val="00494534"/>
    <w:rsid w:val="004B04E4"/>
    <w:rsid w:val="004D6ECB"/>
    <w:rsid w:val="004D7A8D"/>
    <w:rsid w:val="00515593"/>
    <w:rsid w:val="005217DD"/>
    <w:rsid w:val="00525529"/>
    <w:rsid w:val="00551945"/>
    <w:rsid w:val="00584C51"/>
    <w:rsid w:val="005A23F0"/>
    <w:rsid w:val="005A68E1"/>
    <w:rsid w:val="005E6303"/>
    <w:rsid w:val="00633245"/>
    <w:rsid w:val="00637543"/>
    <w:rsid w:val="006501BD"/>
    <w:rsid w:val="006938D8"/>
    <w:rsid w:val="006A2304"/>
    <w:rsid w:val="006D0FAB"/>
    <w:rsid w:val="006E28F2"/>
    <w:rsid w:val="006E2C7B"/>
    <w:rsid w:val="00707C0A"/>
    <w:rsid w:val="0071410F"/>
    <w:rsid w:val="00720CC1"/>
    <w:rsid w:val="00764E28"/>
    <w:rsid w:val="007674F9"/>
    <w:rsid w:val="007C0537"/>
    <w:rsid w:val="007D3D08"/>
    <w:rsid w:val="008021ED"/>
    <w:rsid w:val="00807E05"/>
    <w:rsid w:val="00822978"/>
    <w:rsid w:val="0084022C"/>
    <w:rsid w:val="00841C28"/>
    <w:rsid w:val="008515BC"/>
    <w:rsid w:val="00871BF7"/>
    <w:rsid w:val="00874624"/>
    <w:rsid w:val="00882122"/>
    <w:rsid w:val="008856C4"/>
    <w:rsid w:val="00887D4F"/>
    <w:rsid w:val="00892368"/>
    <w:rsid w:val="00895281"/>
    <w:rsid w:val="008970AF"/>
    <w:rsid w:val="008A28C9"/>
    <w:rsid w:val="008A55B5"/>
    <w:rsid w:val="009262CC"/>
    <w:rsid w:val="00962B44"/>
    <w:rsid w:val="00992A31"/>
    <w:rsid w:val="009A7596"/>
    <w:rsid w:val="009B5EA1"/>
    <w:rsid w:val="00A21914"/>
    <w:rsid w:val="00A23FBC"/>
    <w:rsid w:val="00A31557"/>
    <w:rsid w:val="00A43798"/>
    <w:rsid w:val="00A45763"/>
    <w:rsid w:val="00A93A13"/>
    <w:rsid w:val="00A976C5"/>
    <w:rsid w:val="00B057AF"/>
    <w:rsid w:val="00B128D7"/>
    <w:rsid w:val="00B20C45"/>
    <w:rsid w:val="00B23E07"/>
    <w:rsid w:val="00B45C9B"/>
    <w:rsid w:val="00BB2081"/>
    <w:rsid w:val="00BE531E"/>
    <w:rsid w:val="00BF570B"/>
    <w:rsid w:val="00C65ECF"/>
    <w:rsid w:val="00C86954"/>
    <w:rsid w:val="00CC3051"/>
    <w:rsid w:val="00D06B91"/>
    <w:rsid w:val="00D723C5"/>
    <w:rsid w:val="00D76EE9"/>
    <w:rsid w:val="00DB26B1"/>
    <w:rsid w:val="00DC1641"/>
    <w:rsid w:val="00E02C90"/>
    <w:rsid w:val="00E32E19"/>
    <w:rsid w:val="00E50FB6"/>
    <w:rsid w:val="00E520A8"/>
    <w:rsid w:val="00E631D3"/>
    <w:rsid w:val="00E86BFD"/>
    <w:rsid w:val="00EB1810"/>
    <w:rsid w:val="00EB1AC5"/>
    <w:rsid w:val="00EB3D9B"/>
    <w:rsid w:val="00EB6074"/>
    <w:rsid w:val="00EF41A1"/>
    <w:rsid w:val="00F14FC3"/>
    <w:rsid w:val="00F166FD"/>
    <w:rsid w:val="00F82D1E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7AB3"/>
  <w15:chartTrackingRefBased/>
  <w15:docId w15:val="{83BF914C-3BB7-46D4-BD78-0F4E84DD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2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3E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23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log.thetrademarkhub.com/trade-marks/difference-trade-mark-symb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Walsh</dc:creator>
  <cp:keywords/>
  <dc:description/>
  <cp:lastModifiedBy>Andrew Atkin</cp:lastModifiedBy>
  <cp:revision>7</cp:revision>
  <cp:lastPrinted>2018-10-14T15:59:00Z</cp:lastPrinted>
  <dcterms:created xsi:type="dcterms:W3CDTF">2019-07-12T06:34:00Z</dcterms:created>
  <dcterms:modified xsi:type="dcterms:W3CDTF">2020-11-02T12:16:00Z</dcterms:modified>
</cp:coreProperties>
</file>